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2E781">
      <w:pPr>
        <w:spacing w:before="0" w:after="80" w:line="360" w:lineRule="auto"/>
        <w:jc w:val="center"/>
      </w:pPr>
      <w:r>
        <w:rPr>
          <w:rFonts w:hint="eastAsia" w:ascii="黑体" w:hAnsi="黑体" w:eastAsia="黑体"/>
          <w:b w:val="0"/>
          <w:color w:val="000000"/>
          <w:sz w:val="44"/>
          <w:lang w:val="en-US" w:eastAsia="zh-CN"/>
        </w:rPr>
        <w:t>首都机场股份公司对外</w:t>
      </w:r>
      <w:r>
        <w:rPr>
          <w:rFonts w:ascii="黑体" w:hAnsi="黑体" w:eastAsia="黑体"/>
          <w:b w:val="0"/>
          <w:color w:val="000000"/>
          <w:sz w:val="44"/>
        </w:rPr>
        <w:t>投资情况报告</w:t>
      </w:r>
    </w:p>
    <w:p w14:paraId="57AA4E14">
      <w:pPr>
        <w:spacing w:before="0" w:after="0" w:line="540" w:lineRule="exact"/>
        <w:ind w:firstLine="640" w:firstLineChars="200"/>
        <w:jc w:val="both"/>
        <w:rPr>
          <w:rFonts w:hint="eastAsia" w:eastAsia="仿宋"/>
          <w:lang w:eastAsia="zh-CN"/>
        </w:rPr>
      </w:pPr>
      <w:r>
        <w:rPr>
          <w:rFonts w:hint="eastAsia"/>
          <w:color w:val="000000"/>
          <w:sz w:val="32"/>
          <w:szCs w:val="32"/>
          <w:lang w:val="en-US" w:eastAsia="zh-CN"/>
        </w:rPr>
        <w:t>截至</w:t>
      </w:r>
      <w:r>
        <w:rPr>
          <w:rFonts w:hint="eastAsia"/>
          <w:color w:val="000000"/>
          <w:sz w:val="32"/>
          <w:szCs w:val="32"/>
        </w:rPr>
        <w:t>目前，</w:t>
      </w:r>
      <w:r>
        <w:rPr>
          <w:rFonts w:hint="eastAsia"/>
          <w:color w:val="000000"/>
          <w:sz w:val="32"/>
          <w:szCs w:val="32"/>
          <w:lang w:val="en-US" w:eastAsia="zh-CN"/>
        </w:rPr>
        <w:t>首都机</w:t>
      </w:r>
      <w:r>
        <w:rPr>
          <w:rFonts w:hint="eastAsia" w:ascii="仿宋" w:hAnsi="仿宋" w:eastAsia="仿宋"/>
          <w:b w:val="0"/>
          <w:color w:val="000000"/>
          <w:sz w:val="32"/>
          <w:lang w:val="en-US" w:eastAsia="zh-CN"/>
        </w:rPr>
        <w:t>场</w:t>
      </w:r>
      <w:r>
        <w:rPr>
          <w:rFonts w:hint="eastAsia" w:ascii="仿宋" w:hAnsi="仿宋" w:eastAsia="仿宋"/>
          <w:b w:val="0"/>
          <w:color w:val="000000"/>
          <w:sz w:val="32"/>
        </w:rPr>
        <w:t>股份公司对外参股企业一家，为北京创联民航技术有限公司</w:t>
      </w:r>
      <w:r>
        <w:rPr>
          <w:rFonts w:ascii="仿宋" w:hAnsi="仿宋" w:eastAsia="仿宋"/>
          <w:b w:val="0"/>
          <w:color w:val="000000"/>
          <w:sz w:val="32"/>
        </w:rPr>
        <w:t>（以下简称“创联公司”）</w:t>
      </w:r>
      <w:r>
        <w:rPr>
          <w:rFonts w:hint="eastAsia" w:ascii="仿宋" w:hAnsi="仿宋" w:eastAsia="仿宋"/>
          <w:b w:val="0"/>
          <w:color w:val="000000"/>
          <w:sz w:val="32"/>
          <w:lang w:eastAsia="zh-CN"/>
        </w:rPr>
        <w:t>。</w:t>
      </w:r>
      <w:r>
        <w:rPr>
          <w:rFonts w:ascii="仿宋" w:hAnsi="仿宋" w:eastAsia="仿宋"/>
          <w:b w:val="0"/>
          <w:color w:val="000000"/>
          <w:sz w:val="32"/>
        </w:rPr>
        <w:t>按照</w:t>
      </w:r>
      <w:r>
        <w:rPr>
          <w:rFonts w:hint="eastAsia"/>
          <w:b w:val="0"/>
          <w:color w:val="000000"/>
          <w:sz w:val="32"/>
          <w:lang w:val="en-US" w:eastAsia="zh-CN"/>
        </w:rPr>
        <w:t>集团公司《2027年度资本运营计划编制要求》</w:t>
      </w:r>
      <w:r>
        <w:rPr>
          <w:rFonts w:ascii="仿宋" w:hAnsi="仿宋" w:eastAsia="仿宋"/>
          <w:b w:val="0"/>
          <w:color w:val="000000"/>
          <w:sz w:val="32"/>
        </w:rPr>
        <w:t>，现就创联公司</w:t>
      </w:r>
      <w:r>
        <w:rPr>
          <w:rFonts w:hint="eastAsia"/>
          <w:b w:val="0"/>
          <w:color w:val="000000"/>
          <w:sz w:val="32"/>
          <w:lang w:val="en-US" w:eastAsia="zh-CN"/>
        </w:rPr>
        <w:t>的</w:t>
      </w:r>
      <w:r>
        <w:rPr>
          <w:rFonts w:ascii="仿宋" w:hAnsi="仿宋" w:eastAsia="仿宋"/>
          <w:b w:val="0"/>
          <w:color w:val="000000"/>
          <w:sz w:val="32"/>
        </w:rPr>
        <w:t>股权基本情况、下属企业法人存在的合理性和必要性、股权架构的合理性和必要性报告如下</w:t>
      </w:r>
      <w:r>
        <w:rPr>
          <w:rFonts w:hint="eastAsia"/>
          <w:b w:val="0"/>
          <w:color w:val="000000"/>
          <w:sz w:val="32"/>
          <w:lang w:eastAsia="zh-CN"/>
        </w:rPr>
        <w:t>：</w:t>
      </w:r>
    </w:p>
    <w:p w14:paraId="78151DC4">
      <w:pPr>
        <w:keepNext/>
        <w:spacing w:before="240" w:after="120" w:line="600" w:lineRule="exact"/>
        <w:jc w:val="center"/>
      </w:pPr>
      <w:r>
        <w:rPr>
          <w:rFonts w:ascii="黑体" w:hAnsi="黑体" w:eastAsia="黑体"/>
          <w:b w:val="0"/>
          <w:color w:val="000000"/>
          <w:sz w:val="32"/>
        </w:rPr>
        <w:t>一、</w:t>
      </w:r>
      <w:r>
        <w:rPr>
          <w:rFonts w:hint="eastAsia" w:ascii="黑体" w:hAnsi="黑体" w:eastAsia="黑体"/>
          <w:b w:val="0"/>
          <w:color w:val="000000"/>
          <w:sz w:val="32"/>
          <w:lang w:val="en-US" w:eastAsia="zh-CN"/>
        </w:rPr>
        <w:t>创联公司</w:t>
      </w:r>
      <w:r>
        <w:rPr>
          <w:rFonts w:ascii="黑体" w:hAnsi="黑体" w:eastAsia="黑体"/>
          <w:b w:val="0"/>
          <w:color w:val="000000"/>
          <w:sz w:val="32"/>
        </w:rPr>
        <w:t>股权基本情况</w:t>
      </w:r>
    </w:p>
    <w:p w14:paraId="22BE5E7B">
      <w:pPr>
        <w:spacing w:before="0" w:after="0" w:line="540" w:lineRule="exact"/>
        <w:ind w:firstLine="640"/>
        <w:jc w:val="both"/>
      </w:pPr>
      <w:r>
        <w:rPr>
          <w:rFonts w:ascii="仿宋" w:hAnsi="仿宋" w:eastAsia="仿宋"/>
          <w:b w:val="0"/>
          <w:color w:val="000000"/>
          <w:sz w:val="32"/>
        </w:rPr>
        <w:t>创联公司</w:t>
      </w:r>
      <w:r>
        <w:rPr>
          <w:rFonts w:hint="eastAsia"/>
          <w:b w:val="0"/>
          <w:color w:val="000000"/>
          <w:sz w:val="32"/>
          <w:lang w:val="en-US" w:eastAsia="zh-CN"/>
        </w:rPr>
        <w:t>股东</w:t>
      </w:r>
      <w:r>
        <w:rPr>
          <w:rFonts w:ascii="仿宋" w:hAnsi="仿宋" w:eastAsia="仿宋"/>
          <w:b w:val="0"/>
          <w:color w:val="000000"/>
          <w:sz w:val="32"/>
        </w:rPr>
        <w:t>为首都机场集团科技管理有限公司（以下简称“科技公司”）、北京首都国际机场股份有限公司（以下简称“首都机场股份公司”）、内蒙古自治区民航机场集团有限责任公司（以下简称“内蒙古机场集团”）三家单位，合计出资13,068.77万元，持有创联公司100%股权。</w:t>
      </w:r>
    </w:p>
    <w:p w14:paraId="47F5D18E">
      <w:pPr>
        <w:keepNext/>
        <w:spacing w:before="120" w:after="60" w:line="560" w:lineRule="exact"/>
        <w:ind w:firstLine="640"/>
        <w:jc w:val="left"/>
      </w:pPr>
      <w:r>
        <w:rPr>
          <w:rFonts w:ascii="楷体" w:hAnsi="楷体" w:eastAsia="楷体"/>
          <w:b/>
          <w:color w:val="000000"/>
          <w:sz w:val="32"/>
        </w:rPr>
        <w:t>（一）投资金额与投资时间</w:t>
      </w:r>
    </w:p>
    <w:p w14:paraId="4BD21BA8">
      <w:pPr>
        <w:spacing w:before="0" w:after="0" w:line="540" w:lineRule="exact"/>
        <w:ind w:firstLine="640"/>
        <w:jc w:val="both"/>
      </w:pPr>
      <w:r>
        <w:rPr>
          <w:rFonts w:ascii="仿宋" w:hAnsi="仿宋" w:eastAsia="仿宋"/>
          <w:b w:val="0"/>
          <w:color w:val="000000"/>
          <w:sz w:val="32"/>
        </w:rPr>
        <w:t>创联公司于2021年设立，注册资本13,</w:t>
      </w:r>
      <w:r>
        <w:rPr>
          <w:rFonts w:hint="eastAsia"/>
          <w:b w:val="0"/>
          <w:color w:val="000000"/>
          <w:sz w:val="32"/>
          <w:lang w:val="en-US" w:eastAsia="zh-CN"/>
        </w:rPr>
        <w:t>068.77</w:t>
      </w:r>
      <w:r>
        <w:rPr>
          <w:rFonts w:ascii="仿宋" w:hAnsi="仿宋" w:eastAsia="仿宋"/>
          <w:b w:val="0"/>
          <w:color w:val="000000"/>
          <w:sz w:val="32"/>
        </w:rPr>
        <w:t>万元。设立时股东为首都机场股份公司、内蒙古机场集团、</w:t>
      </w:r>
      <w:r>
        <w:rPr>
          <w:rFonts w:hint="eastAsia"/>
          <w:b w:val="0"/>
          <w:color w:val="000000"/>
          <w:sz w:val="32"/>
          <w:lang w:val="en-US" w:eastAsia="zh-CN"/>
        </w:rPr>
        <w:t>首维公司</w:t>
      </w:r>
      <w:r>
        <w:rPr>
          <w:rFonts w:ascii="仿宋" w:hAnsi="仿宋" w:eastAsia="仿宋"/>
          <w:b w:val="0"/>
          <w:color w:val="000000"/>
          <w:sz w:val="32"/>
        </w:rPr>
        <w:t>、担保公司，持股比例分别为31%、31%、31%、7%。2023年3月，首维公司所持31%股权、担保公司所持7%股权依股东会决议转让至科技公司；2023年6月</w:t>
      </w:r>
      <w:r>
        <w:rPr>
          <w:rFonts w:hint="eastAsia"/>
          <w:b w:val="0"/>
          <w:color w:val="000000"/>
          <w:sz w:val="32"/>
          <w:lang w:eastAsia="zh-CN"/>
        </w:rPr>
        <w:t>，</w:t>
      </w:r>
      <w:r>
        <w:rPr>
          <w:rFonts w:hint="eastAsia"/>
          <w:b w:val="0"/>
          <w:color w:val="000000"/>
          <w:sz w:val="32"/>
          <w:lang w:val="en-US" w:eastAsia="zh-CN"/>
        </w:rPr>
        <w:t>创联公司</w:t>
      </w:r>
      <w:r>
        <w:rPr>
          <w:rFonts w:ascii="仿宋" w:hAnsi="仿宋" w:eastAsia="仿宋"/>
          <w:b w:val="0"/>
          <w:color w:val="000000"/>
          <w:sz w:val="32"/>
        </w:rPr>
        <w:t>修订公司章程，股权结构调整为科技公司38%、首都机场股份公司31%、内蒙古机场集团31%。</w:t>
      </w:r>
    </w:p>
    <w:p w14:paraId="594E7532">
      <w:pPr>
        <w:spacing w:before="0" w:after="0" w:line="540" w:lineRule="exact"/>
        <w:ind w:firstLine="640"/>
        <w:jc w:val="both"/>
        <w:rPr>
          <w:rFonts w:hint="default" w:eastAsia="仿宋"/>
          <w:lang w:val="en-US" w:eastAsia="zh-CN"/>
        </w:rPr>
      </w:pPr>
      <w:r>
        <w:rPr>
          <w:rFonts w:ascii="仿宋" w:hAnsi="仿宋" w:eastAsia="仿宋"/>
          <w:b w:val="0"/>
          <w:color w:val="000000"/>
          <w:sz w:val="32"/>
        </w:rPr>
        <w:t>三家股东均于2023年</w:t>
      </w:r>
      <w:r>
        <w:rPr>
          <w:rFonts w:hint="eastAsia"/>
          <w:b w:val="0"/>
          <w:color w:val="000000"/>
          <w:sz w:val="32"/>
          <w:lang w:val="en-US" w:eastAsia="zh-CN"/>
        </w:rPr>
        <w:t>7</w:t>
      </w:r>
      <w:r>
        <w:rPr>
          <w:rFonts w:ascii="仿宋" w:hAnsi="仿宋" w:eastAsia="仿宋"/>
          <w:b w:val="0"/>
          <w:color w:val="000000"/>
          <w:sz w:val="32"/>
        </w:rPr>
        <w:t>月底前完成实缴：科技公司、首都机场股份公司以货币出资，内蒙古机场集团以其持有的司拓公司100%权益作价4,051.32万元出资，并于2023年</w:t>
      </w:r>
      <w:r>
        <w:rPr>
          <w:rFonts w:hint="eastAsia"/>
          <w:b w:val="0"/>
          <w:color w:val="000000"/>
          <w:sz w:val="32"/>
          <w:lang w:val="en-US" w:eastAsia="zh-CN"/>
        </w:rPr>
        <w:t>7</w:t>
      </w:r>
      <w:r>
        <w:rPr>
          <w:rFonts w:ascii="仿宋" w:hAnsi="仿宋" w:eastAsia="仿宋"/>
          <w:b w:val="0"/>
          <w:color w:val="000000"/>
          <w:sz w:val="32"/>
        </w:rPr>
        <w:t>月底完成司拓公司股权变更登记</w:t>
      </w:r>
      <w:r>
        <w:rPr>
          <w:rFonts w:hint="eastAsia"/>
          <w:b w:val="0"/>
          <w:color w:val="000000"/>
          <w:sz w:val="32"/>
          <w:lang w:eastAsia="zh-CN"/>
        </w:rPr>
        <w:t>。</w:t>
      </w:r>
      <w:r>
        <w:rPr>
          <w:rFonts w:hint="eastAsia"/>
          <w:b w:val="0"/>
          <w:color w:val="000000"/>
          <w:sz w:val="32"/>
          <w:lang w:val="en-US" w:eastAsia="zh-CN"/>
        </w:rPr>
        <w:t>创联</w:t>
      </w:r>
      <w:r>
        <w:rPr>
          <w:rFonts w:ascii="仿宋" w:hAnsi="仿宋" w:eastAsia="仿宋"/>
          <w:b w:val="0"/>
          <w:color w:val="000000"/>
          <w:sz w:val="32"/>
        </w:rPr>
        <w:t>公司于2023年</w:t>
      </w:r>
      <w:r>
        <w:rPr>
          <w:rFonts w:hint="eastAsia"/>
          <w:b w:val="0"/>
          <w:color w:val="000000"/>
          <w:sz w:val="32"/>
          <w:lang w:val="en-US" w:eastAsia="zh-CN"/>
        </w:rPr>
        <w:t>8</w:t>
      </w:r>
      <w:r>
        <w:rPr>
          <w:rFonts w:ascii="仿宋" w:hAnsi="仿宋" w:eastAsia="仿宋"/>
          <w:b w:val="0"/>
          <w:color w:val="000000"/>
          <w:sz w:val="32"/>
        </w:rPr>
        <w:t>月起进入实质运营。</w:t>
      </w:r>
      <w:r>
        <w:rPr>
          <w:rFonts w:hint="eastAsia"/>
          <w:b w:val="0"/>
          <w:color w:val="000000"/>
          <w:sz w:val="32"/>
          <w:lang w:eastAsia="zh-CN"/>
        </w:rPr>
        <w:t>（</w:t>
      </w:r>
      <w:r>
        <w:rPr>
          <w:rFonts w:ascii="仿宋" w:hAnsi="仿宋" w:eastAsia="仿宋"/>
          <w:b w:val="0"/>
          <w:color w:val="000000"/>
          <w:sz w:val="32"/>
        </w:rPr>
        <w:t>创联公司股权结构如</w:t>
      </w:r>
      <w:r>
        <w:rPr>
          <w:rFonts w:hint="eastAsia"/>
          <w:b w:val="0"/>
          <w:color w:val="000000"/>
          <w:sz w:val="32"/>
          <w:lang w:val="en-US" w:eastAsia="zh-CN"/>
        </w:rPr>
        <w:t>表1）</w:t>
      </w:r>
    </w:p>
    <w:p w14:paraId="77F1CA6C">
      <w:pPr>
        <w:keepNext/>
        <w:spacing w:before="120" w:after="60" w:line="360" w:lineRule="exact"/>
        <w:jc w:val="center"/>
        <w:rPr>
          <w:sz w:val="24"/>
          <w:szCs w:val="24"/>
        </w:rPr>
      </w:pPr>
      <w:r>
        <w:rPr>
          <w:rFonts w:ascii="黑体" w:hAnsi="黑体" w:eastAsia="黑体"/>
          <w:b w:val="0"/>
          <w:color w:val="000000"/>
          <w:sz w:val="24"/>
          <w:szCs w:val="24"/>
        </w:rPr>
        <w:t>表1  创联公司股权结构表</w:t>
      </w:r>
    </w:p>
    <w:tbl>
      <w:tblPr>
        <w:tblStyle w:val="34"/>
        <w:tblW w:w="87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8"/>
        <w:gridCol w:w="1304"/>
        <w:gridCol w:w="793"/>
        <w:gridCol w:w="1984"/>
        <w:gridCol w:w="1360"/>
      </w:tblGrid>
      <w:tr w14:paraId="016B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288" w:type="dxa"/>
            <w:vAlign w:val="center"/>
          </w:tcPr>
          <w:p w14:paraId="6BD2E090">
            <w:pPr>
              <w:spacing w:before="20" w:after="20" w:line="240" w:lineRule="auto"/>
              <w:jc w:val="center"/>
              <w:rPr>
                <w:sz w:val="21"/>
                <w:szCs w:val="21"/>
              </w:rPr>
            </w:pPr>
            <w:r>
              <w:rPr>
                <w:rFonts w:ascii="黑体" w:hAnsi="黑体" w:eastAsia="黑体"/>
                <w:b w:val="0"/>
                <w:color w:val="000000"/>
                <w:sz w:val="21"/>
                <w:szCs w:val="21"/>
              </w:rPr>
              <w:t>股东名称</w:t>
            </w:r>
          </w:p>
        </w:tc>
        <w:tc>
          <w:tcPr>
            <w:tcW w:w="1304" w:type="dxa"/>
            <w:vAlign w:val="center"/>
          </w:tcPr>
          <w:p w14:paraId="21ACA3CC">
            <w:pPr>
              <w:spacing w:before="20" w:after="20" w:line="240" w:lineRule="auto"/>
              <w:jc w:val="center"/>
              <w:rPr>
                <w:sz w:val="21"/>
                <w:szCs w:val="21"/>
              </w:rPr>
            </w:pPr>
            <w:r>
              <w:rPr>
                <w:rFonts w:ascii="黑体" w:hAnsi="黑体" w:eastAsia="黑体"/>
                <w:b w:val="0"/>
                <w:color w:val="000000"/>
                <w:sz w:val="21"/>
                <w:szCs w:val="21"/>
              </w:rPr>
              <w:t>认缴出资</w:t>
            </w:r>
            <w:r>
              <w:rPr>
                <w:rFonts w:ascii="黑体" w:hAnsi="黑体" w:eastAsia="黑体"/>
                <w:b w:val="0"/>
                <w:color w:val="000000"/>
                <w:sz w:val="21"/>
                <w:szCs w:val="21"/>
              </w:rPr>
              <w:br w:type="textWrapping"/>
            </w:r>
            <w:r>
              <w:rPr>
                <w:rFonts w:ascii="黑体" w:hAnsi="黑体" w:eastAsia="黑体"/>
                <w:b w:val="0"/>
                <w:color w:val="000000"/>
                <w:sz w:val="21"/>
                <w:szCs w:val="21"/>
              </w:rPr>
              <w:t>（万元）</w:t>
            </w:r>
          </w:p>
        </w:tc>
        <w:tc>
          <w:tcPr>
            <w:tcW w:w="794" w:type="dxa"/>
            <w:vAlign w:val="center"/>
          </w:tcPr>
          <w:p w14:paraId="1C4838CE">
            <w:pPr>
              <w:spacing w:before="20" w:after="20" w:line="240" w:lineRule="auto"/>
              <w:jc w:val="center"/>
              <w:rPr>
                <w:sz w:val="21"/>
                <w:szCs w:val="21"/>
              </w:rPr>
            </w:pPr>
            <w:r>
              <w:rPr>
                <w:rFonts w:ascii="黑体" w:hAnsi="黑体" w:eastAsia="黑体"/>
                <w:b w:val="0"/>
                <w:color w:val="000000"/>
                <w:sz w:val="21"/>
                <w:szCs w:val="21"/>
              </w:rPr>
              <w:t>持股</w:t>
            </w:r>
            <w:r>
              <w:rPr>
                <w:rFonts w:ascii="黑体" w:hAnsi="黑体" w:eastAsia="黑体"/>
                <w:b w:val="0"/>
                <w:color w:val="000000"/>
                <w:sz w:val="21"/>
                <w:szCs w:val="21"/>
              </w:rPr>
              <w:br w:type="textWrapping"/>
            </w:r>
            <w:r>
              <w:rPr>
                <w:rFonts w:ascii="黑体" w:hAnsi="黑体" w:eastAsia="黑体"/>
                <w:b w:val="0"/>
                <w:color w:val="000000"/>
                <w:sz w:val="21"/>
                <w:szCs w:val="21"/>
              </w:rPr>
              <w:t>比例</w:t>
            </w:r>
          </w:p>
        </w:tc>
        <w:tc>
          <w:tcPr>
            <w:tcW w:w="1984" w:type="dxa"/>
            <w:vAlign w:val="center"/>
          </w:tcPr>
          <w:p w14:paraId="00C547CA">
            <w:pPr>
              <w:spacing w:before="20" w:after="20" w:line="240" w:lineRule="auto"/>
              <w:jc w:val="center"/>
              <w:rPr>
                <w:sz w:val="21"/>
                <w:szCs w:val="21"/>
              </w:rPr>
            </w:pPr>
            <w:r>
              <w:rPr>
                <w:rFonts w:ascii="黑体" w:hAnsi="黑体" w:eastAsia="黑体"/>
                <w:b w:val="0"/>
                <w:color w:val="000000"/>
                <w:sz w:val="21"/>
                <w:szCs w:val="21"/>
              </w:rPr>
              <w:t>出资方式</w:t>
            </w:r>
          </w:p>
        </w:tc>
        <w:tc>
          <w:tcPr>
            <w:tcW w:w="1361" w:type="dxa"/>
            <w:vAlign w:val="center"/>
          </w:tcPr>
          <w:p w14:paraId="7BB358D4">
            <w:pPr>
              <w:spacing w:before="20" w:after="20" w:line="240" w:lineRule="auto"/>
              <w:jc w:val="center"/>
              <w:rPr>
                <w:sz w:val="21"/>
                <w:szCs w:val="21"/>
              </w:rPr>
            </w:pPr>
            <w:r>
              <w:rPr>
                <w:rFonts w:ascii="黑体" w:hAnsi="黑体" w:eastAsia="黑体"/>
                <w:b w:val="0"/>
                <w:color w:val="000000"/>
                <w:sz w:val="21"/>
                <w:szCs w:val="21"/>
              </w:rPr>
              <w:t>出资到位</w:t>
            </w:r>
            <w:r>
              <w:rPr>
                <w:rFonts w:ascii="黑体" w:hAnsi="黑体" w:eastAsia="黑体"/>
                <w:b w:val="0"/>
                <w:color w:val="000000"/>
                <w:sz w:val="21"/>
                <w:szCs w:val="21"/>
              </w:rPr>
              <w:br w:type="textWrapping"/>
            </w:r>
            <w:r>
              <w:rPr>
                <w:rFonts w:ascii="黑体" w:hAnsi="黑体" w:eastAsia="黑体"/>
                <w:b w:val="0"/>
                <w:color w:val="000000"/>
                <w:sz w:val="21"/>
                <w:szCs w:val="21"/>
              </w:rPr>
              <w:t>时间</w:t>
            </w:r>
          </w:p>
        </w:tc>
      </w:tr>
      <w:tr w14:paraId="1F8A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8" w:type="dxa"/>
            <w:vAlign w:val="center"/>
          </w:tcPr>
          <w:p w14:paraId="259FDE38">
            <w:pPr>
              <w:spacing w:before="20" w:after="20" w:line="240" w:lineRule="auto"/>
              <w:jc w:val="left"/>
              <w:rPr>
                <w:sz w:val="21"/>
                <w:szCs w:val="21"/>
              </w:rPr>
            </w:pPr>
            <w:r>
              <w:rPr>
                <w:rFonts w:ascii="Times New Roman" w:hAnsi="Times New Roman" w:eastAsia="宋体"/>
                <w:b w:val="0"/>
                <w:color w:val="000000"/>
                <w:sz w:val="21"/>
                <w:szCs w:val="21"/>
              </w:rPr>
              <w:t>首都机场集团科技管理有限公司</w:t>
            </w:r>
          </w:p>
        </w:tc>
        <w:tc>
          <w:tcPr>
            <w:tcW w:w="1304" w:type="dxa"/>
            <w:vAlign w:val="center"/>
          </w:tcPr>
          <w:p w14:paraId="34886D38">
            <w:pPr>
              <w:spacing w:before="20" w:after="20" w:line="240" w:lineRule="auto"/>
              <w:jc w:val="center"/>
              <w:rPr>
                <w:sz w:val="21"/>
                <w:szCs w:val="21"/>
              </w:rPr>
            </w:pPr>
            <w:r>
              <w:rPr>
                <w:rFonts w:ascii="Times New Roman" w:hAnsi="Times New Roman" w:eastAsia="宋体"/>
                <w:b w:val="0"/>
                <w:color w:val="000000"/>
                <w:sz w:val="21"/>
                <w:szCs w:val="21"/>
              </w:rPr>
              <w:t>4,966.13</w:t>
            </w:r>
          </w:p>
        </w:tc>
        <w:tc>
          <w:tcPr>
            <w:tcW w:w="794" w:type="dxa"/>
            <w:vAlign w:val="center"/>
          </w:tcPr>
          <w:p w14:paraId="00730EA5">
            <w:pPr>
              <w:spacing w:before="20" w:after="20" w:line="240" w:lineRule="auto"/>
              <w:jc w:val="center"/>
              <w:rPr>
                <w:sz w:val="21"/>
                <w:szCs w:val="21"/>
              </w:rPr>
            </w:pPr>
            <w:r>
              <w:rPr>
                <w:rFonts w:ascii="Times New Roman" w:hAnsi="Times New Roman" w:eastAsia="宋体"/>
                <w:b w:val="0"/>
                <w:color w:val="000000"/>
                <w:sz w:val="21"/>
                <w:szCs w:val="21"/>
              </w:rPr>
              <w:t>38%</w:t>
            </w:r>
          </w:p>
        </w:tc>
        <w:tc>
          <w:tcPr>
            <w:tcW w:w="1984" w:type="dxa"/>
            <w:vAlign w:val="center"/>
          </w:tcPr>
          <w:p w14:paraId="6F05B740">
            <w:pPr>
              <w:spacing w:before="20" w:after="20" w:line="240" w:lineRule="auto"/>
              <w:jc w:val="center"/>
              <w:rPr>
                <w:sz w:val="21"/>
                <w:szCs w:val="21"/>
              </w:rPr>
            </w:pPr>
            <w:r>
              <w:rPr>
                <w:rFonts w:ascii="Times New Roman" w:hAnsi="Times New Roman" w:eastAsia="宋体"/>
                <w:b w:val="0"/>
                <w:color w:val="000000"/>
                <w:sz w:val="21"/>
                <w:szCs w:val="21"/>
              </w:rPr>
              <w:t>货币</w:t>
            </w:r>
          </w:p>
        </w:tc>
        <w:tc>
          <w:tcPr>
            <w:tcW w:w="1361" w:type="dxa"/>
            <w:vAlign w:val="center"/>
          </w:tcPr>
          <w:p w14:paraId="1F495FEB">
            <w:pPr>
              <w:spacing w:before="20" w:after="20" w:line="240" w:lineRule="auto"/>
              <w:jc w:val="center"/>
              <w:rPr>
                <w:sz w:val="21"/>
                <w:szCs w:val="21"/>
              </w:rPr>
            </w:pPr>
            <w:r>
              <w:rPr>
                <w:rFonts w:ascii="Times New Roman" w:hAnsi="Times New Roman" w:eastAsia="宋体"/>
                <w:b w:val="0"/>
                <w:color w:val="000000"/>
                <w:sz w:val="21"/>
                <w:szCs w:val="21"/>
              </w:rPr>
              <w:t>2023年</w:t>
            </w:r>
            <w:r>
              <w:rPr>
                <w:rFonts w:hint="eastAsia" w:ascii="Times New Roman" w:hAnsi="Times New Roman" w:eastAsia="宋体"/>
                <w:b w:val="0"/>
                <w:color w:val="000000"/>
                <w:sz w:val="21"/>
                <w:szCs w:val="21"/>
                <w:lang w:val="en-US" w:eastAsia="zh-CN"/>
              </w:rPr>
              <w:t>7</w:t>
            </w:r>
            <w:r>
              <w:rPr>
                <w:rFonts w:ascii="Times New Roman" w:hAnsi="Times New Roman" w:eastAsia="宋体"/>
                <w:b w:val="0"/>
                <w:color w:val="000000"/>
                <w:sz w:val="21"/>
                <w:szCs w:val="21"/>
              </w:rPr>
              <w:t>月</w:t>
            </w:r>
          </w:p>
        </w:tc>
      </w:tr>
      <w:tr w14:paraId="5140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8" w:type="dxa"/>
            <w:vAlign w:val="center"/>
          </w:tcPr>
          <w:p w14:paraId="4D11FE31">
            <w:pPr>
              <w:spacing w:before="20" w:after="20" w:line="240" w:lineRule="auto"/>
              <w:jc w:val="left"/>
              <w:rPr>
                <w:sz w:val="21"/>
                <w:szCs w:val="21"/>
              </w:rPr>
            </w:pPr>
            <w:r>
              <w:rPr>
                <w:rFonts w:ascii="Times New Roman" w:hAnsi="Times New Roman" w:eastAsia="宋体"/>
                <w:b w:val="0"/>
                <w:color w:val="000000"/>
                <w:sz w:val="21"/>
                <w:szCs w:val="21"/>
              </w:rPr>
              <w:t>北京首都国际机场股份有限公司</w:t>
            </w:r>
          </w:p>
        </w:tc>
        <w:tc>
          <w:tcPr>
            <w:tcW w:w="1304" w:type="dxa"/>
            <w:vAlign w:val="center"/>
          </w:tcPr>
          <w:p w14:paraId="5573565C">
            <w:pPr>
              <w:spacing w:before="20" w:after="20" w:line="240" w:lineRule="auto"/>
              <w:jc w:val="center"/>
              <w:rPr>
                <w:sz w:val="21"/>
                <w:szCs w:val="21"/>
              </w:rPr>
            </w:pPr>
            <w:r>
              <w:rPr>
                <w:rFonts w:ascii="Times New Roman" w:hAnsi="Times New Roman" w:eastAsia="宋体"/>
                <w:b w:val="0"/>
                <w:color w:val="000000"/>
                <w:sz w:val="21"/>
                <w:szCs w:val="21"/>
              </w:rPr>
              <w:t>4,051.32</w:t>
            </w:r>
          </w:p>
        </w:tc>
        <w:tc>
          <w:tcPr>
            <w:tcW w:w="794" w:type="dxa"/>
            <w:vAlign w:val="center"/>
          </w:tcPr>
          <w:p w14:paraId="1B60D054">
            <w:pPr>
              <w:spacing w:before="20" w:after="20" w:line="240" w:lineRule="auto"/>
              <w:jc w:val="center"/>
              <w:rPr>
                <w:sz w:val="21"/>
                <w:szCs w:val="21"/>
              </w:rPr>
            </w:pPr>
            <w:r>
              <w:rPr>
                <w:rFonts w:ascii="Times New Roman" w:hAnsi="Times New Roman" w:eastAsia="宋体"/>
                <w:b w:val="0"/>
                <w:color w:val="000000"/>
                <w:sz w:val="21"/>
                <w:szCs w:val="21"/>
              </w:rPr>
              <w:t>31%</w:t>
            </w:r>
          </w:p>
        </w:tc>
        <w:tc>
          <w:tcPr>
            <w:tcW w:w="1984" w:type="dxa"/>
            <w:vAlign w:val="center"/>
          </w:tcPr>
          <w:p w14:paraId="15BDE56D">
            <w:pPr>
              <w:spacing w:before="20" w:after="20" w:line="240" w:lineRule="auto"/>
              <w:jc w:val="center"/>
              <w:rPr>
                <w:sz w:val="21"/>
                <w:szCs w:val="21"/>
              </w:rPr>
            </w:pPr>
            <w:r>
              <w:rPr>
                <w:rFonts w:ascii="Times New Roman" w:hAnsi="Times New Roman" w:eastAsia="宋体"/>
                <w:b w:val="0"/>
                <w:color w:val="000000"/>
                <w:sz w:val="21"/>
                <w:szCs w:val="21"/>
              </w:rPr>
              <w:t>货币</w:t>
            </w:r>
          </w:p>
        </w:tc>
        <w:tc>
          <w:tcPr>
            <w:tcW w:w="1361" w:type="dxa"/>
            <w:vAlign w:val="center"/>
          </w:tcPr>
          <w:p w14:paraId="20AD2527">
            <w:pPr>
              <w:spacing w:before="20" w:after="20" w:line="240" w:lineRule="auto"/>
              <w:jc w:val="center"/>
              <w:rPr>
                <w:sz w:val="21"/>
                <w:szCs w:val="21"/>
              </w:rPr>
            </w:pPr>
            <w:r>
              <w:rPr>
                <w:rFonts w:ascii="Times New Roman" w:hAnsi="Times New Roman" w:eastAsia="宋体"/>
                <w:b w:val="0"/>
                <w:color w:val="000000"/>
                <w:sz w:val="21"/>
                <w:szCs w:val="21"/>
              </w:rPr>
              <w:t>2023年</w:t>
            </w:r>
            <w:r>
              <w:rPr>
                <w:rFonts w:hint="eastAsia" w:ascii="Times New Roman" w:hAnsi="Times New Roman" w:eastAsia="宋体"/>
                <w:b w:val="0"/>
                <w:color w:val="000000"/>
                <w:sz w:val="21"/>
                <w:szCs w:val="21"/>
                <w:lang w:val="en-US" w:eastAsia="zh-CN"/>
              </w:rPr>
              <w:t>7</w:t>
            </w:r>
            <w:r>
              <w:rPr>
                <w:rFonts w:ascii="Times New Roman" w:hAnsi="Times New Roman" w:eastAsia="宋体"/>
                <w:b w:val="0"/>
                <w:color w:val="000000"/>
                <w:sz w:val="21"/>
                <w:szCs w:val="21"/>
              </w:rPr>
              <w:t>月</w:t>
            </w:r>
          </w:p>
        </w:tc>
      </w:tr>
      <w:tr w14:paraId="3289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8" w:type="dxa"/>
            <w:vAlign w:val="center"/>
          </w:tcPr>
          <w:p w14:paraId="2A36B54E">
            <w:pPr>
              <w:spacing w:before="20" w:after="20" w:line="240" w:lineRule="auto"/>
              <w:jc w:val="left"/>
              <w:rPr>
                <w:sz w:val="21"/>
                <w:szCs w:val="21"/>
              </w:rPr>
            </w:pPr>
            <w:r>
              <w:rPr>
                <w:rFonts w:ascii="Times New Roman" w:hAnsi="Times New Roman" w:eastAsia="宋体"/>
                <w:b w:val="0"/>
                <w:color w:val="000000"/>
                <w:sz w:val="21"/>
                <w:szCs w:val="21"/>
              </w:rPr>
              <w:t>内蒙古自治区民航机场集团有限责任公司</w:t>
            </w:r>
          </w:p>
        </w:tc>
        <w:tc>
          <w:tcPr>
            <w:tcW w:w="1304" w:type="dxa"/>
            <w:vAlign w:val="center"/>
          </w:tcPr>
          <w:p w14:paraId="7F4760DD">
            <w:pPr>
              <w:spacing w:before="20" w:after="20" w:line="240" w:lineRule="auto"/>
              <w:jc w:val="center"/>
              <w:rPr>
                <w:sz w:val="21"/>
                <w:szCs w:val="21"/>
              </w:rPr>
            </w:pPr>
            <w:r>
              <w:rPr>
                <w:rFonts w:ascii="Times New Roman" w:hAnsi="Times New Roman" w:eastAsia="宋体"/>
                <w:b w:val="0"/>
                <w:color w:val="000000"/>
                <w:sz w:val="21"/>
                <w:szCs w:val="21"/>
              </w:rPr>
              <w:t>4,051.32</w:t>
            </w:r>
          </w:p>
        </w:tc>
        <w:tc>
          <w:tcPr>
            <w:tcW w:w="794" w:type="dxa"/>
            <w:vAlign w:val="center"/>
          </w:tcPr>
          <w:p w14:paraId="5E711231">
            <w:pPr>
              <w:spacing w:before="20" w:after="20" w:line="240" w:lineRule="auto"/>
              <w:jc w:val="center"/>
              <w:rPr>
                <w:sz w:val="21"/>
                <w:szCs w:val="21"/>
              </w:rPr>
            </w:pPr>
            <w:r>
              <w:rPr>
                <w:rFonts w:ascii="Times New Roman" w:hAnsi="Times New Roman" w:eastAsia="宋体"/>
                <w:b w:val="0"/>
                <w:color w:val="000000"/>
                <w:sz w:val="21"/>
                <w:szCs w:val="21"/>
              </w:rPr>
              <w:t>31%</w:t>
            </w:r>
          </w:p>
        </w:tc>
        <w:tc>
          <w:tcPr>
            <w:tcW w:w="1984" w:type="dxa"/>
            <w:vAlign w:val="center"/>
          </w:tcPr>
          <w:p w14:paraId="6477F829">
            <w:pPr>
              <w:spacing w:before="20" w:after="20" w:line="240" w:lineRule="auto"/>
              <w:jc w:val="center"/>
              <w:rPr>
                <w:sz w:val="21"/>
                <w:szCs w:val="21"/>
              </w:rPr>
            </w:pPr>
            <w:r>
              <w:rPr>
                <w:rFonts w:ascii="Times New Roman" w:hAnsi="Times New Roman" w:eastAsia="宋体"/>
                <w:b w:val="0"/>
                <w:color w:val="000000"/>
                <w:sz w:val="21"/>
                <w:szCs w:val="21"/>
              </w:rPr>
              <w:t>股权（司拓公司100%权益作价）</w:t>
            </w:r>
          </w:p>
        </w:tc>
        <w:tc>
          <w:tcPr>
            <w:tcW w:w="1361" w:type="dxa"/>
            <w:vAlign w:val="center"/>
          </w:tcPr>
          <w:p w14:paraId="20C7C6B6">
            <w:pPr>
              <w:spacing w:before="20" w:after="20" w:line="240" w:lineRule="auto"/>
              <w:jc w:val="center"/>
              <w:rPr>
                <w:sz w:val="21"/>
                <w:szCs w:val="21"/>
              </w:rPr>
            </w:pPr>
            <w:r>
              <w:rPr>
                <w:rFonts w:ascii="Times New Roman" w:hAnsi="Times New Roman" w:eastAsia="宋体"/>
                <w:b w:val="0"/>
                <w:color w:val="000000"/>
                <w:sz w:val="21"/>
                <w:szCs w:val="21"/>
              </w:rPr>
              <w:t>2023年</w:t>
            </w:r>
            <w:r>
              <w:rPr>
                <w:rFonts w:hint="eastAsia" w:ascii="Times New Roman" w:hAnsi="Times New Roman" w:eastAsia="宋体"/>
                <w:b w:val="0"/>
                <w:color w:val="000000"/>
                <w:sz w:val="21"/>
                <w:szCs w:val="21"/>
                <w:lang w:val="en-US" w:eastAsia="zh-CN"/>
              </w:rPr>
              <w:t>7</w:t>
            </w:r>
            <w:r>
              <w:rPr>
                <w:rFonts w:ascii="Times New Roman" w:hAnsi="Times New Roman" w:eastAsia="宋体"/>
                <w:b w:val="0"/>
                <w:color w:val="000000"/>
                <w:sz w:val="21"/>
                <w:szCs w:val="21"/>
              </w:rPr>
              <w:t>月</w:t>
            </w:r>
          </w:p>
        </w:tc>
      </w:tr>
      <w:tr w14:paraId="345B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8" w:type="dxa"/>
            <w:vAlign w:val="center"/>
          </w:tcPr>
          <w:p w14:paraId="1F28E9A9">
            <w:pPr>
              <w:spacing w:before="20" w:after="20" w:line="240" w:lineRule="auto"/>
              <w:jc w:val="left"/>
              <w:rPr>
                <w:sz w:val="21"/>
                <w:szCs w:val="21"/>
              </w:rPr>
            </w:pPr>
            <w:r>
              <w:rPr>
                <w:rFonts w:ascii="Times New Roman" w:hAnsi="Times New Roman" w:eastAsia="宋体"/>
                <w:b w:val="0"/>
                <w:color w:val="000000"/>
                <w:sz w:val="21"/>
                <w:szCs w:val="21"/>
              </w:rPr>
              <w:t>合    计</w:t>
            </w:r>
          </w:p>
        </w:tc>
        <w:tc>
          <w:tcPr>
            <w:tcW w:w="1304" w:type="dxa"/>
            <w:vAlign w:val="center"/>
          </w:tcPr>
          <w:p w14:paraId="430B68EF">
            <w:pPr>
              <w:spacing w:before="20" w:after="20" w:line="240" w:lineRule="auto"/>
              <w:jc w:val="center"/>
              <w:rPr>
                <w:sz w:val="21"/>
                <w:szCs w:val="21"/>
              </w:rPr>
            </w:pPr>
            <w:r>
              <w:rPr>
                <w:rFonts w:ascii="Times New Roman" w:hAnsi="Times New Roman" w:eastAsia="宋体"/>
                <w:b w:val="0"/>
                <w:color w:val="000000"/>
                <w:sz w:val="21"/>
                <w:szCs w:val="21"/>
              </w:rPr>
              <w:t>13,068.77</w:t>
            </w:r>
          </w:p>
        </w:tc>
        <w:tc>
          <w:tcPr>
            <w:tcW w:w="794" w:type="dxa"/>
            <w:vAlign w:val="center"/>
          </w:tcPr>
          <w:p w14:paraId="59F67FE2">
            <w:pPr>
              <w:spacing w:before="20" w:after="20" w:line="240" w:lineRule="auto"/>
              <w:jc w:val="center"/>
              <w:rPr>
                <w:sz w:val="21"/>
                <w:szCs w:val="21"/>
              </w:rPr>
            </w:pPr>
            <w:r>
              <w:rPr>
                <w:rFonts w:ascii="Times New Roman" w:hAnsi="Times New Roman" w:eastAsia="宋体"/>
                <w:b w:val="0"/>
                <w:color w:val="000000"/>
                <w:sz w:val="21"/>
                <w:szCs w:val="21"/>
              </w:rPr>
              <w:t>100%</w:t>
            </w:r>
          </w:p>
        </w:tc>
        <w:tc>
          <w:tcPr>
            <w:tcW w:w="1984" w:type="dxa"/>
            <w:vAlign w:val="center"/>
          </w:tcPr>
          <w:p w14:paraId="004D8F33">
            <w:pPr>
              <w:spacing w:before="20" w:after="20" w:line="240" w:lineRule="auto"/>
              <w:jc w:val="center"/>
              <w:rPr>
                <w:sz w:val="21"/>
                <w:szCs w:val="21"/>
              </w:rPr>
            </w:pPr>
            <w:r>
              <w:rPr>
                <w:rFonts w:ascii="Times New Roman" w:hAnsi="Times New Roman" w:eastAsia="宋体"/>
                <w:b w:val="0"/>
                <w:color w:val="000000"/>
                <w:sz w:val="21"/>
                <w:szCs w:val="21"/>
              </w:rPr>
              <w:t>—</w:t>
            </w:r>
          </w:p>
        </w:tc>
        <w:tc>
          <w:tcPr>
            <w:tcW w:w="1361" w:type="dxa"/>
            <w:vAlign w:val="center"/>
          </w:tcPr>
          <w:p w14:paraId="087093C4">
            <w:pPr>
              <w:spacing w:before="20" w:after="20" w:line="240" w:lineRule="auto"/>
              <w:jc w:val="center"/>
              <w:rPr>
                <w:sz w:val="21"/>
                <w:szCs w:val="21"/>
              </w:rPr>
            </w:pPr>
            <w:r>
              <w:rPr>
                <w:rFonts w:ascii="Times New Roman" w:hAnsi="Times New Roman" w:eastAsia="宋体"/>
                <w:b w:val="0"/>
                <w:color w:val="000000"/>
                <w:sz w:val="21"/>
                <w:szCs w:val="21"/>
              </w:rPr>
              <w:t>—</w:t>
            </w:r>
          </w:p>
        </w:tc>
      </w:tr>
    </w:tbl>
    <w:p w14:paraId="3C33F1D1">
      <w:pPr>
        <w:keepNext/>
        <w:spacing w:before="120" w:after="60" w:line="560" w:lineRule="exact"/>
        <w:ind w:firstLine="640"/>
        <w:jc w:val="left"/>
      </w:pPr>
      <w:r>
        <w:rPr>
          <w:rFonts w:ascii="楷体" w:hAnsi="楷体" w:eastAsia="楷体"/>
          <w:b/>
          <w:color w:val="000000"/>
          <w:sz w:val="32"/>
        </w:rPr>
        <w:t>（</w:t>
      </w:r>
      <w:r>
        <w:rPr>
          <w:rFonts w:hint="eastAsia" w:ascii="楷体" w:hAnsi="楷体" w:eastAsia="楷体"/>
          <w:b/>
          <w:color w:val="000000"/>
          <w:sz w:val="32"/>
          <w:lang w:val="en-US" w:eastAsia="zh-CN"/>
        </w:rPr>
        <w:t>二</w:t>
      </w:r>
      <w:r>
        <w:rPr>
          <w:rFonts w:ascii="楷体" w:hAnsi="楷体" w:eastAsia="楷体"/>
          <w:b/>
          <w:color w:val="000000"/>
          <w:sz w:val="32"/>
        </w:rPr>
        <w:t>）累计分红情况</w:t>
      </w:r>
    </w:p>
    <w:p w14:paraId="117D294C">
      <w:pPr>
        <w:spacing w:before="0" w:after="0" w:line="540" w:lineRule="exact"/>
        <w:ind w:firstLine="640"/>
        <w:jc w:val="both"/>
        <w:rPr>
          <w:rFonts w:ascii="仿宋" w:hAnsi="仿宋" w:eastAsia="仿宋"/>
          <w:b w:val="0"/>
          <w:sz w:val="32"/>
        </w:rPr>
      </w:pPr>
      <w:r>
        <w:rPr>
          <w:rFonts w:ascii="仿宋" w:hAnsi="仿宋" w:eastAsia="仿宋"/>
          <w:b w:val="0"/>
          <w:color w:val="000000"/>
          <w:sz w:val="32"/>
        </w:rPr>
        <w:t>创联公司自成立以来共实施一次现金分红，累计分红180万元。经董事会审议并报股东会批准，公司以2024年末经审计的母公司口径可供分配利润187.52万元为基准，实施2024年度现金分红180万元，于2025年</w:t>
      </w:r>
      <w:r>
        <w:rPr>
          <w:rFonts w:hint="eastAsia"/>
          <w:b w:val="0"/>
          <w:color w:val="000000"/>
          <w:sz w:val="32"/>
          <w:lang w:val="en-US" w:eastAsia="zh-CN"/>
        </w:rPr>
        <w:t>12</w:t>
      </w:r>
      <w:r>
        <w:rPr>
          <w:rFonts w:ascii="仿宋" w:hAnsi="仿宋" w:eastAsia="仿宋"/>
          <w:b w:val="0"/>
          <w:color w:val="000000"/>
          <w:sz w:val="32"/>
        </w:rPr>
        <w:t>月完成支付。按持股比例，科技公司、股份公司、内蒙古机场集团分别取得68.4万元、55.8万元、55.8万元；股份公司取得的分红占其出资4,051.32万元的1.38%。</w:t>
      </w:r>
    </w:p>
    <w:p w14:paraId="0DA742B6">
      <w:pPr>
        <w:spacing w:before="0" w:after="0" w:line="540" w:lineRule="exact"/>
        <w:ind w:firstLine="640"/>
        <w:jc w:val="both"/>
        <w:rPr>
          <w:rFonts w:hint="eastAsia"/>
          <w:b w:val="0"/>
          <w:sz w:val="32"/>
          <w:lang w:eastAsia="zh-CN"/>
        </w:rPr>
      </w:pPr>
      <w:r>
        <w:rPr>
          <w:rFonts w:hint="eastAsia"/>
          <w:b w:val="0"/>
          <w:color w:val="000000"/>
          <w:sz w:val="32"/>
          <w:lang w:val="en-US" w:eastAsia="zh-CN"/>
        </w:rPr>
        <w:t>本</w:t>
      </w:r>
      <w:r>
        <w:rPr>
          <w:rFonts w:ascii="仿宋" w:hAnsi="仿宋" w:eastAsia="仿宋"/>
          <w:b w:val="0"/>
          <w:color w:val="000000"/>
          <w:sz w:val="32"/>
        </w:rPr>
        <w:t>次分红以</w:t>
      </w:r>
      <w:r>
        <w:rPr>
          <w:rFonts w:hint="eastAsia"/>
          <w:b w:val="0"/>
          <w:color w:val="000000"/>
          <w:sz w:val="32"/>
          <w:lang w:val="en-US" w:eastAsia="zh-CN"/>
        </w:rPr>
        <w:t>创联</w:t>
      </w:r>
      <w:r>
        <w:rPr>
          <w:rFonts w:ascii="仿宋" w:hAnsi="仿宋" w:eastAsia="仿宋"/>
          <w:b w:val="0"/>
          <w:color w:val="000000"/>
          <w:sz w:val="32"/>
        </w:rPr>
        <w:t>公司单体口径可供分配利润为基础，</w:t>
      </w:r>
      <w:r>
        <w:rPr>
          <w:rFonts w:hint="eastAsia"/>
          <w:b w:val="0"/>
          <w:color w:val="000000"/>
          <w:sz w:val="32"/>
          <w:lang w:val="en-US" w:eastAsia="zh-CN"/>
        </w:rPr>
        <w:t>创联公司与司拓公司</w:t>
      </w:r>
      <w:r>
        <w:rPr>
          <w:rFonts w:ascii="仿宋" w:hAnsi="仿宋" w:eastAsia="仿宋"/>
          <w:b w:val="0"/>
          <w:color w:val="000000"/>
          <w:sz w:val="32"/>
        </w:rPr>
        <w:t>合并口径2024年末未分配利润为-1,273.74万元、2025年末为-2,917.26万元，公司整体仍处于未弥补亏损状态，分红并未改变投资回报未达预期的基本格局</w:t>
      </w:r>
      <w:r>
        <w:rPr>
          <w:rFonts w:hint="eastAsia"/>
          <w:b w:val="0"/>
          <w:color w:val="000000"/>
          <w:sz w:val="32"/>
          <w:lang w:eastAsia="zh-CN"/>
        </w:rPr>
        <w:t>。</w:t>
      </w:r>
    </w:p>
    <w:p w14:paraId="3FCBDDBD">
      <w:pPr>
        <w:spacing w:before="0" w:after="0" w:line="540" w:lineRule="exact"/>
        <w:ind w:firstLine="640"/>
        <w:jc w:val="both"/>
        <w:rPr>
          <w:rFonts w:hint="default" w:ascii="楷体" w:hAnsi="楷体" w:eastAsia="楷体"/>
          <w:b/>
          <w:sz w:val="32"/>
          <w:highlight w:val="yellow"/>
          <w:lang w:val="en-US" w:eastAsia="zh-CN"/>
        </w:rPr>
      </w:pPr>
      <w:r>
        <w:rPr>
          <w:rFonts w:ascii="楷体" w:hAnsi="楷体" w:eastAsia="楷体"/>
          <w:b/>
          <w:color w:val="000000"/>
          <w:sz w:val="32"/>
        </w:rPr>
        <w:t>（</w:t>
      </w:r>
      <w:r>
        <w:rPr>
          <w:rFonts w:hint="eastAsia" w:ascii="楷体" w:hAnsi="楷体" w:eastAsia="楷体"/>
          <w:b/>
          <w:color w:val="000000"/>
          <w:sz w:val="32"/>
          <w:lang w:val="en-US" w:eastAsia="zh-CN"/>
        </w:rPr>
        <w:t>三</w:t>
      </w:r>
      <w:r>
        <w:rPr>
          <w:rFonts w:ascii="楷体" w:hAnsi="楷体" w:eastAsia="楷体"/>
          <w:b/>
          <w:color w:val="000000"/>
          <w:sz w:val="32"/>
        </w:rPr>
        <w:t>）</w:t>
      </w:r>
      <w:r>
        <w:rPr>
          <w:rFonts w:ascii="楷体" w:hAnsi="楷体" w:eastAsia="楷体"/>
          <w:b/>
          <w:color w:val="000000"/>
          <w:sz w:val="32"/>
          <w:highlight w:val="yellow"/>
        </w:rPr>
        <w:t>2026年末所有者权益预计</w:t>
      </w:r>
      <w:r>
        <w:rPr>
          <w:rFonts w:hint="eastAsia" w:ascii="楷体" w:hAnsi="楷体" w:eastAsia="楷体"/>
          <w:b/>
          <w:color w:val="000000"/>
          <w:sz w:val="32"/>
          <w:highlight w:val="yellow"/>
          <w:lang w:eastAsia="zh-CN"/>
        </w:rPr>
        <w:t>（</w:t>
      </w:r>
      <w:r>
        <w:rPr>
          <w:rFonts w:hint="eastAsia" w:ascii="楷体" w:hAnsi="楷体" w:eastAsia="楷体"/>
          <w:b/>
          <w:color w:val="000000"/>
          <w:sz w:val="32"/>
          <w:highlight w:val="yellow"/>
          <w:lang w:val="en-US" w:eastAsia="zh-CN"/>
        </w:rPr>
        <w:t>待创联财务总监补充）</w:t>
      </w:r>
    </w:p>
    <w:p w14:paraId="3FCBDDBD">
      <w:pPr>
        <w:spacing w:before="0" w:after="0" w:line="540" w:lineRule="exact"/>
        <w:ind w:firstLine="640"/>
        <w:jc w:val="both"/>
        <w:rPr>
          <w:rFonts w:hint="default" w:ascii="楷体" w:hAnsi="楷体" w:eastAsia="楷体"/>
          <w:b/>
          <w:sz w:val="32"/>
          <w:highlight w:val="yellow"/>
          <w:lang w:val="en-US" w:eastAsia="zh-CN"/>
        </w:rPr>
      </w:pPr>
      <w:r>
        <w:rPr>
          <w:color w:val="000000"/>
          <w:sz w:val="24"/>
        </w:rPr>
        <w:t>【待补数据，暂缺】2026年末所有者权益预计：＿＿＿＿万元（待创联公司财务总监提供）。</w:t>
      </w:r>
    </w:p>
    <w:p w14:paraId="3FCBDDBD">
      <w:pPr>
        <w:spacing w:before="0" w:after="0" w:line="540" w:lineRule="exact"/>
        <w:ind w:firstLine="640"/>
        <w:jc w:val="both"/>
        <w:rPr>
          <w:rFonts w:hint="default" w:ascii="楷体" w:hAnsi="楷体" w:eastAsia="楷体"/>
          <w:b/>
          <w:sz w:val="32"/>
          <w:highlight w:val="yellow"/>
          <w:lang w:val="en-US" w:eastAsia="zh-CN"/>
        </w:rPr>
      </w:pPr>
      <w:r>
        <w:rPr>
          <w:color w:val="000000"/>
          <w:sz w:val="24"/>
        </w:rPr>
        <w:t>敏感性测算（按2026年9月末口径13,282.85万元为基准，仅作区间参考）：</w:t>
      </w:r>
    </w:p>
    <w:p w14:paraId="3FCBDDBD">
      <w:pPr>
        <w:spacing w:before="0" w:after="0" w:line="540" w:lineRule="exact"/>
        <w:ind w:firstLine="640"/>
        <w:jc w:val="both"/>
        <w:rPr>
          <w:rFonts w:hint="default" w:ascii="楷体" w:hAnsi="楷体" w:eastAsia="楷体"/>
          <w:b/>
          <w:sz w:val="32"/>
          <w:highlight w:val="yellow"/>
          <w:lang w:val="en-US" w:eastAsia="zh-CN"/>
        </w:rPr>
      </w:pPr>
      <w:r>
        <w:rPr>
          <w:color w:val="000000"/>
          <w:sz w:val="24"/>
        </w:rPr>
        <w:t xml:space="preserve">　基准情形：13,282.85万元，较累计投入增值214.08万元，增值率1.64%；</w:t>
      </w:r>
    </w:p>
    <w:p w14:paraId="3FCBDDBD">
      <w:pPr>
        <w:spacing w:before="0" w:after="0" w:line="540" w:lineRule="exact"/>
        <w:ind w:firstLine="640"/>
        <w:jc w:val="both"/>
        <w:rPr>
          <w:rFonts w:hint="default" w:ascii="楷体" w:hAnsi="楷体" w:eastAsia="楷体"/>
          <w:b/>
          <w:sz w:val="32"/>
          <w:highlight w:val="yellow"/>
          <w:lang w:val="en-US" w:eastAsia="zh-CN"/>
        </w:rPr>
      </w:pPr>
      <w:r>
        <w:rPr>
          <w:color w:val="000000"/>
          <w:sz w:val="24"/>
        </w:rPr>
        <w:t xml:space="preserve">　下行情景（−10%）：11,954.57万元，较累计投入减少1,114.20万元，增值率−8.53%；</w:t>
      </w:r>
    </w:p>
    <w:p w14:paraId="3FCBDDBD">
      <w:pPr>
        <w:spacing w:before="0" w:after="0" w:line="540" w:lineRule="exact"/>
        <w:ind w:firstLine="640"/>
        <w:jc w:val="both"/>
        <w:rPr>
          <w:rFonts w:hint="default" w:ascii="楷体" w:hAnsi="楷体" w:eastAsia="楷体"/>
          <w:b/>
          <w:sz w:val="32"/>
          <w:highlight w:val="yellow"/>
          <w:lang w:val="en-US" w:eastAsia="zh-CN"/>
        </w:rPr>
      </w:pPr>
      <w:r>
        <w:rPr>
          <w:color w:val="000000"/>
          <w:sz w:val="24"/>
        </w:rPr>
        <w:t xml:space="preserve">　上行情景（+10%）：14,611.14万元，较累计投入增加1,542.37万元，增值率11.80%。</w:t>
      </w:r>
    </w:p>
    <w:p w14:paraId="3FCBDDBD">
      <w:pPr>
        <w:spacing w:before="0" w:after="0" w:line="540" w:lineRule="exact"/>
        <w:ind w:firstLine="640"/>
        <w:jc w:val="both"/>
        <w:rPr>
          <w:rFonts w:hint="default" w:ascii="楷体" w:hAnsi="楷体" w:eastAsia="楷体"/>
          <w:b/>
          <w:sz w:val="32"/>
          <w:highlight w:val="yellow"/>
          <w:lang w:val="en-US" w:eastAsia="zh-CN"/>
        </w:rPr>
      </w:pPr>
      <w:r>
        <w:rPr>
          <w:color w:val="000000"/>
          <w:sz w:val="24"/>
        </w:rPr>
        <w:t xml:space="preserve">　上述区间待正式测算数据到位后替换，测算口径应与经审计的合并资产负债表一致。</w:t>
      </w:r>
    </w:p>
    <w:p w14:paraId="05F89BD6">
      <w:pPr>
        <w:keepNext/>
        <w:spacing w:before="120" w:after="60" w:line="560" w:lineRule="exact"/>
        <w:ind w:firstLine="640"/>
        <w:jc w:val="left"/>
        <w:rPr>
          <w:rFonts w:ascii="楷体" w:hAnsi="楷体" w:eastAsia="楷体"/>
          <w:b/>
          <w:sz w:val="32"/>
          <w:highlight w:val="yellow"/>
        </w:rPr>
      </w:pPr>
    </w:p>
    <w:p w14:paraId="0E9DA2DA">
      <w:pPr>
        <w:keepNext/>
        <w:spacing w:before="120" w:after="60" w:line="560" w:lineRule="exact"/>
        <w:ind w:firstLine="640"/>
        <w:jc w:val="left"/>
        <w:rPr>
          <w:rFonts w:ascii="楷体" w:hAnsi="楷体" w:eastAsia="楷体"/>
          <w:b/>
          <w:sz w:val="32"/>
          <w:highlight w:val="yellow"/>
        </w:rPr>
      </w:pPr>
    </w:p>
    <w:p w14:paraId="1393414D">
      <w:pPr>
        <w:keepNext/>
        <w:spacing w:before="120" w:after="60" w:line="560" w:lineRule="exact"/>
        <w:ind w:firstLine="640"/>
        <w:jc w:val="left"/>
        <w:rPr>
          <w:rFonts w:ascii="楷体" w:hAnsi="楷体" w:eastAsia="楷体"/>
          <w:b/>
          <w:sz w:val="32"/>
          <w:highlight w:val="yellow"/>
        </w:rPr>
      </w:pPr>
    </w:p>
    <w:p w14:paraId="7984058A">
      <w:pPr>
        <w:keepNext/>
        <w:spacing w:before="120" w:after="60" w:line="560" w:lineRule="exact"/>
        <w:ind w:firstLine="640"/>
        <w:jc w:val="left"/>
        <w:rPr>
          <w:rFonts w:ascii="楷体" w:hAnsi="楷体" w:eastAsia="楷体"/>
          <w:b/>
          <w:sz w:val="32"/>
          <w:highlight w:val="yellow"/>
        </w:rPr>
      </w:pPr>
    </w:p>
    <w:p w14:paraId="74958DE7">
      <w:pPr>
        <w:keepNext/>
        <w:spacing w:before="120" w:after="60" w:line="560" w:lineRule="exact"/>
        <w:ind w:firstLine="640"/>
        <w:jc w:val="left"/>
        <w:rPr>
          <w:rFonts w:ascii="楷体" w:hAnsi="楷体" w:eastAsia="楷体"/>
          <w:b/>
          <w:sz w:val="32"/>
          <w:highlight w:val="yellow"/>
        </w:rPr>
      </w:pPr>
    </w:p>
    <w:p w14:paraId="44C51A4C">
      <w:pPr>
        <w:keepNext/>
        <w:spacing w:before="120" w:after="60" w:line="560" w:lineRule="exact"/>
        <w:ind w:firstLine="640"/>
        <w:jc w:val="left"/>
        <w:rPr>
          <w:rFonts w:ascii="楷体" w:hAnsi="楷体" w:eastAsia="楷体"/>
          <w:b/>
          <w:sz w:val="32"/>
          <w:highlight w:val="yellow"/>
        </w:rPr>
      </w:pPr>
    </w:p>
    <w:p w14:paraId="41BB61C7">
      <w:pPr>
        <w:keepNext/>
        <w:spacing w:before="120" w:after="60" w:line="560" w:lineRule="exact"/>
        <w:ind w:firstLine="640"/>
        <w:jc w:val="left"/>
        <w:rPr>
          <w:rFonts w:ascii="楷体" w:hAnsi="楷体" w:eastAsia="楷体"/>
          <w:b/>
          <w:sz w:val="32"/>
          <w:highlight w:val="yellow"/>
        </w:rPr>
      </w:pPr>
    </w:p>
    <w:p w14:paraId="6558291E">
      <w:pPr>
        <w:keepNext/>
        <w:spacing w:before="120" w:after="60" w:line="560" w:lineRule="exact"/>
        <w:ind w:firstLine="640"/>
        <w:jc w:val="left"/>
        <w:rPr>
          <w:rFonts w:hint="default" w:eastAsia="楷体"/>
          <w:highlight w:val="yellow"/>
          <w:lang w:val="en-US" w:eastAsia="zh-CN"/>
        </w:rPr>
      </w:pPr>
      <w:r>
        <w:rPr>
          <w:rFonts w:ascii="楷体" w:hAnsi="楷体" w:eastAsia="楷体"/>
          <w:b/>
          <w:color w:val="000000"/>
          <w:sz w:val="32"/>
          <w:highlight w:val="yellow"/>
        </w:rPr>
        <w:t>（</w:t>
      </w:r>
      <w:r>
        <w:rPr>
          <w:rFonts w:hint="eastAsia" w:ascii="楷体" w:hAnsi="楷体" w:eastAsia="楷体"/>
          <w:b/>
          <w:color w:val="000000"/>
          <w:sz w:val="32"/>
          <w:highlight w:val="yellow"/>
          <w:lang w:val="en-US" w:eastAsia="zh-CN"/>
        </w:rPr>
        <w:t>四</w:t>
      </w:r>
      <w:r>
        <w:rPr>
          <w:rFonts w:ascii="楷体" w:hAnsi="楷体" w:eastAsia="楷体"/>
          <w:b/>
          <w:color w:val="000000"/>
          <w:sz w:val="32"/>
          <w:highlight w:val="yellow"/>
        </w:rPr>
        <w:t>）投资至今累计增值情况</w:t>
      </w:r>
      <w:r>
        <w:rPr>
          <w:rFonts w:hint="eastAsia" w:ascii="楷体" w:hAnsi="楷体" w:eastAsia="楷体"/>
          <w:b/>
          <w:color w:val="000000"/>
          <w:sz w:val="32"/>
          <w:highlight w:val="yellow"/>
          <w:lang w:eastAsia="zh-CN"/>
        </w:rPr>
        <w:t>（</w:t>
      </w:r>
      <w:r>
        <w:rPr>
          <w:rFonts w:hint="eastAsia" w:ascii="楷体" w:hAnsi="楷体" w:eastAsia="楷体"/>
          <w:b/>
          <w:color w:val="000000"/>
          <w:sz w:val="32"/>
          <w:highlight w:val="yellow"/>
          <w:lang w:val="en-US" w:eastAsia="zh-CN"/>
        </w:rPr>
        <w:t>待创联财务总监确认）</w:t>
      </w:r>
    </w:p>
    <w:p w14:paraId="6558291E">
      <w:pPr>
        <w:keepNext/>
        <w:spacing w:before="120" w:after="60" w:line="560" w:lineRule="exact"/>
        <w:ind w:firstLine="640"/>
        <w:jc w:val="left"/>
        <w:rPr>
          <w:rFonts w:hint="default" w:eastAsia="楷体"/>
          <w:highlight w:val="yellow"/>
          <w:lang w:val="en-US" w:eastAsia="zh-CN"/>
        </w:rPr>
      </w:pPr>
      <w:r>
        <w:rPr>
          <w:color w:val="000000"/>
          <w:sz w:val="24"/>
        </w:rPr>
        <w:t>口径说明：本节“所有者权益变动”（2025年末13,779.25万元→2026年9月末13,282.85万元，减少496.40万元）为所有者权益总额变动口径，</w:t>
      </w:r>
    </w:p>
    <w:p w14:paraId="6558291E">
      <w:pPr>
        <w:keepNext/>
        <w:spacing w:before="120" w:after="60" w:line="560" w:lineRule="exact"/>
        <w:ind w:firstLine="640"/>
        <w:jc w:val="left"/>
        <w:rPr>
          <w:rFonts w:hint="default" w:eastAsia="楷体"/>
          <w:highlight w:val="yellow"/>
          <w:lang w:val="en-US" w:eastAsia="zh-CN"/>
        </w:rPr>
      </w:pPr>
      <w:r>
        <w:rPr>
          <w:color w:val="000000"/>
          <w:sz w:val="24"/>
        </w:rPr>
        <w:t>与同期合并净利润口径（2026年1—9月净亏损＿＿万元）存在差异，差额主要来源于少数股东权益变动及其他综合收益，</w:t>
      </w:r>
    </w:p>
    <w:p w14:paraId="6558291E">
      <w:pPr>
        <w:keepNext/>
        <w:spacing w:before="120" w:after="60" w:line="560" w:lineRule="exact"/>
        <w:ind w:firstLine="640"/>
        <w:jc w:val="left"/>
        <w:rPr>
          <w:rFonts w:hint="default" w:eastAsia="楷体"/>
          <w:highlight w:val="yellow"/>
          <w:lang w:val="en-US" w:eastAsia="zh-CN"/>
        </w:rPr>
      </w:pPr>
      <w:r>
        <w:rPr>
          <w:color w:val="000000"/>
          <w:sz w:val="24"/>
        </w:rPr>
        <w:t>正式报送前需以审计报表逐项勾稽一致。</w:t>
      </w:r>
    </w:p>
    <w:p w14:paraId="3C39D021">
      <w:pPr>
        <w:spacing w:before="0" w:after="0" w:line="540" w:lineRule="exact"/>
        <w:ind w:firstLine="640"/>
        <w:jc w:val="both"/>
      </w:pPr>
      <w:r>
        <w:rPr>
          <w:rFonts w:ascii="仿宋" w:hAnsi="仿宋" w:eastAsia="仿宋"/>
          <w:b w:val="0"/>
          <w:color w:val="000000"/>
          <w:sz w:val="32"/>
        </w:rPr>
        <w:t>按累计投入与账面净资产比较，截至2025年末，创联公司所有者权益13,779.25万元，较累计投入13,068.77万元增加710.48万元，增值率5.44%，计入已分配现金股利180万元后，股东层面累计回报890.48万元、回报率6.81%。截至2026年9月30日，所有者权益降至13,282.85万元，较累计投入仅增加214.08万元，增值率1.64%，计入已分配股利后股东层面累计回报394.08万元、回报率3.02%——2026年前三季度新增亏损496.40万元，已抵消2025年末账面增值的69.9%。</w:t>
      </w:r>
    </w:p>
    <w:p w14:paraId="561C2E58">
      <w:pPr>
        <w:spacing w:before="0" w:after="0" w:line="540" w:lineRule="exact"/>
        <w:ind w:firstLine="640"/>
        <w:jc w:val="both"/>
      </w:pPr>
      <w:r>
        <w:rPr>
          <w:rFonts w:ascii="仿宋" w:hAnsi="仿宋" w:eastAsia="仿宋"/>
          <w:b w:val="0"/>
          <w:color w:val="000000"/>
          <w:sz w:val="32"/>
        </w:rPr>
        <w:t>公司设立时，内蒙古机场集团以司拓公司100%股权作价出资，形成资本公积3,590.94万元的评估增值，合并层面另形成商誉2,142</w:t>
      </w:r>
      <w:r>
        <w:rPr>
          <w:rFonts w:hint="eastAsia"/>
          <w:b w:val="0"/>
          <w:color w:val="000000"/>
          <w:sz w:val="32"/>
          <w:lang w:val="en-US" w:eastAsia="zh-CN"/>
        </w:rPr>
        <w:t>.22</w:t>
      </w:r>
      <w:r>
        <w:rPr>
          <w:rFonts w:ascii="仿宋" w:hAnsi="仿宋" w:eastAsia="仿宋"/>
          <w:b w:val="0"/>
          <w:color w:val="000000"/>
          <w:sz w:val="32"/>
        </w:rPr>
        <w:t>万元；2024年至2026年9月累计净亏损3,624.</w:t>
      </w:r>
      <w:r>
        <w:rPr>
          <w:rFonts w:hint="eastAsia"/>
          <w:b w:val="0"/>
          <w:color w:val="000000"/>
          <w:sz w:val="32"/>
          <w:lang w:val="en-US" w:eastAsia="zh-CN"/>
        </w:rPr>
        <w:t>40</w:t>
      </w:r>
      <w:r>
        <w:rPr>
          <w:rFonts w:ascii="仿宋" w:hAnsi="仿宋" w:eastAsia="仿宋"/>
          <w:b w:val="0"/>
          <w:color w:val="000000"/>
          <w:sz w:val="32"/>
        </w:rPr>
        <w:t>万元，已将设立初期的账面增值基本消化，2026年9月末账面增值仅剩214.08万元。剔除商誉减值影响后，两年经营性亏损合计986万元。因此，从投资回报实质看，账面增值主要来源于出资作价和合并口径因素，而非经营积累；考虑已分配的180万元分红，截至2026年9月末股东层面累计回报率仅3.02%，明显低于股东对同类股权投资的正常回报要求，投资回报尚未真正实现。</w:t>
      </w:r>
    </w:p>
    <w:p w14:paraId="561C2E58">
      <w:pPr>
        <w:spacing w:before="0" w:after="0" w:line="540" w:lineRule="exact"/>
        <w:ind w:firstLine="640"/>
        <w:jc w:val="both"/>
      </w:pPr>
      <w:r>
        <w:rPr>
          <w:color w:val="000000"/>
          <w:sz w:val="24"/>
        </w:rPr>
        <w:t>（数据勾稽说明）剔除商誉减值影响后，2024年、2025年经调整净利润分别为−930万元、−56万元，</w:t>
      </w:r>
    </w:p>
    <w:p w14:paraId="561C2E58">
      <w:pPr>
        <w:spacing w:before="0" w:after="0" w:line="540" w:lineRule="exact"/>
        <w:ind w:firstLine="640"/>
        <w:jc w:val="both"/>
      </w:pPr>
      <w:r>
        <w:rPr>
          <w:color w:val="000000"/>
          <w:sz w:val="24"/>
        </w:rPr>
        <w:t>与同期合并净利润−1,680万元、−1,448万元的差额750万元、1,392万元，对应商誉减值计提额；</w:t>
      </w:r>
    </w:p>
    <w:p w14:paraId="561C2E58">
      <w:pPr>
        <w:spacing w:before="0" w:after="0" w:line="540" w:lineRule="exact"/>
        <w:ind w:firstLine="640"/>
        <w:jc w:val="both"/>
      </w:pPr>
      <w:r>
        <w:rPr>
          <w:color w:val="000000"/>
          <w:sz w:val="24"/>
        </w:rPr>
        <w:t>该金额应与《商誉减值测试评估报告》（中兴立评报字〔2025〕第1004号）确认的减值损失逐项对应，</w:t>
      </w:r>
    </w:p>
    <w:p w14:paraId="561C2E58">
      <w:pPr>
        <w:spacing w:before="0" w:after="0" w:line="540" w:lineRule="exact"/>
        <w:ind w:firstLine="640"/>
        <w:jc w:val="both"/>
      </w:pPr>
      <w:r>
        <w:rPr>
          <w:color w:val="000000"/>
          <w:sz w:val="24"/>
        </w:rPr>
        <w:t>并说明商誉账面余额2,142.22万元的剩余构成及后续年度减值风险。</w:t>
      </w:r>
    </w:p>
    <w:p w14:paraId="1C756B4F">
      <w:pPr>
        <w:keepNext/>
        <w:spacing w:before="120" w:after="60" w:line="560" w:lineRule="exact"/>
        <w:ind w:firstLine="640"/>
        <w:jc w:val="left"/>
      </w:pPr>
      <w:r>
        <w:rPr>
          <w:rFonts w:ascii="楷体" w:hAnsi="楷体" w:eastAsia="楷体"/>
          <w:b/>
          <w:color w:val="000000"/>
          <w:sz w:val="32"/>
        </w:rPr>
        <w:t>（</w:t>
      </w:r>
      <w:r>
        <w:rPr>
          <w:rFonts w:hint="eastAsia" w:ascii="楷体" w:hAnsi="楷体" w:eastAsia="楷体"/>
          <w:b/>
          <w:color w:val="000000"/>
          <w:sz w:val="32"/>
          <w:lang w:val="en-US" w:eastAsia="zh-CN"/>
        </w:rPr>
        <w:t>五</w:t>
      </w:r>
      <w:r>
        <w:rPr>
          <w:rFonts w:ascii="楷体" w:hAnsi="楷体" w:eastAsia="楷体"/>
          <w:b/>
          <w:color w:val="000000"/>
          <w:sz w:val="32"/>
        </w:rPr>
        <w:t>）股权瑕疵及有关说明</w:t>
      </w:r>
    </w:p>
    <w:p w14:paraId="5A4332FF">
      <w:pPr>
        <w:spacing w:before="0" w:after="0" w:line="540" w:lineRule="exact"/>
        <w:ind w:firstLine="640"/>
        <w:jc w:val="both"/>
      </w:pPr>
      <w:r>
        <w:rPr>
          <w:rFonts w:ascii="仿宋" w:hAnsi="仿宋" w:eastAsia="仿宋"/>
          <w:b w:val="0"/>
          <w:color w:val="000000"/>
          <w:sz w:val="32"/>
        </w:rPr>
        <w:t>经核查，创联公司股权不存在产权不清晰、代持、代管、吊销未注销等情形，具体情况如下：</w:t>
      </w:r>
    </w:p>
    <w:p w14:paraId="3A0EC931">
      <w:pPr>
        <w:spacing w:before="0" w:after="0" w:line="540" w:lineRule="exact"/>
        <w:ind w:firstLine="640"/>
        <w:jc w:val="both"/>
        <w:rPr>
          <w:rFonts w:hint="eastAsia" w:eastAsia="仿宋"/>
          <w:lang w:eastAsia="zh-CN"/>
        </w:rPr>
      </w:pPr>
      <w:r>
        <w:rPr>
          <w:rFonts w:ascii="仿宋" w:hAnsi="仿宋" w:eastAsia="仿宋"/>
          <w:b w:val="0"/>
          <w:color w:val="000000"/>
          <w:sz w:val="32"/>
        </w:rPr>
        <w:t>1.股权权属清晰。三家股东均为依法设立并有效存续的企业法人，工商登记的股东名称、出资额、持股比例与实际出资情况一致，不存在委托持股、信托持股、代持或代管情形，不存在权属争议或潜在纠纷。股份公司所持31%股权权属完整</w:t>
      </w:r>
      <w:r>
        <w:rPr>
          <w:rFonts w:hint="eastAsia"/>
          <w:b w:val="0"/>
          <w:color w:val="000000"/>
          <w:sz w:val="32"/>
          <w:lang w:eastAsia="zh-CN"/>
        </w:rPr>
        <w:t>。</w:t>
      </w:r>
    </w:p>
    <w:p w14:paraId="655C0126">
      <w:pPr>
        <w:spacing w:before="0" w:after="0" w:line="540" w:lineRule="exact"/>
        <w:ind w:firstLine="640"/>
        <w:jc w:val="both"/>
      </w:pPr>
      <w:r>
        <w:rPr>
          <w:rFonts w:ascii="仿宋" w:hAnsi="仿宋" w:eastAsia="仿宋"/>
          <w:b w:val="0"/>
          <w:color w:val="000000"/>
          <w:sz w:val="32"/>
        </w:rPr>
        <w:t>2.出资已足额到位并完成权属过户。股份公司以货币出资4,051.32万元，已于2023年</w:t>
      </w:r>
      <w:r>
        <w:rPr>
          <w:rFonts w:hint="eastAsia"/>
          <w:b w:val="0"/>
          <w:color w:val="000000"/>
          <w:sz w:val="32"/>
          <w:lang w:val="en-US" w:eastAsia="zh-CN"/>
        </w:rPr>
        <w:t>7</w:t>
      </w:r>
      <w:r>
        <w:rPr>
          <w:rFonts w:ascii="仿宋" w:hAnsi="仿宋" w:eastAsia="仿宋"/>
          <w:b w:val="0"/>
          <w:color w:val="000000"/>
          <w:sz w:val="32"/>
        </w:rPr>
        <w:t>月底足额实缴；内蒙古机场集团以司拓公司100%权益作价出资，评估报告、出资协议、股东会决议齐备，股权变更登记已于2023年</w:t>
      </w:r>
      <w:r>
        <w:rPr>
          <w:rFonts w:hint="eastAsia"/>
          <w:b w:val="0"/>
          <w:color w:val="000000"/>
          <w:sz w:val="32"/>
          <w:lang w:val="en-US" w:eastAsia="zh-CN"/>
        </w:rPr>
        <w:t>7</w:t>
      </w:r>
      <w:r>
        <w:rPr>
          <w:rFonts w:ascii="仿宋" w:hAnsi="仿宋" w:eastAsia="仿宋"/>
          <w:b w:val="0"/>
          <w:color w:val="000000"/>
          <w:sz w:val="32"/>
        </w:rPr>
        <w:t>月底完成，司拓公司已成为创联公司全资子公司，不存在出资不实或权属未转移的情形。</w:t>
      </w:r>
    </w:p>
    <w:p w14:paraId="70724778">
      <w:pPr>
        <w:spacing w:before="0" w:after="0" w:line="540" w:lineRule="exact"/>
        <w:ind w:firstLine="640"/>
        <w:jc w:val="both"/>
      </w:pPr>
      <w:r>
        <w:rPr>
          <w:rFonts w:ascii="仿宋" w:hAnsi="仿宋" w:eastAsia="仿宋"/>
          <w:b w:val="0"/>
          <w:color w:val="000000"/>
          <w:sz w:val="32"/>
        </w:rPr>
        <w:t>3.主体资格正常。创联公司及司拓公司均处于正常存续经营状态，不存在被吊销营业执照未注销、被列入经营异常名录或严重违法失信名单的情形。</w:t>
      </w:r>
    </w:p>
    <w:p w14:paraId="5506C1CB">
      <w:pPr>
        <w:spacing w:before="0" w:after="0" w:line="540" w:lineRule="exact"/>
        <w:ind w:firstLine="640"/>
        <w:jc w:val="both"/>
      </w:pPr>
      <w:r>
        <w:rPr>
          <w:rFonts w:ascii="仿宋" w:hAnsi="仿宋" w:eastAsia="仿宋"/>
          <w:b w:val="0"/>
          <w:color w:val="000000"/>
          <w:sz w:val="32"/>
        </w:rPr>
        <w:t>4.需持续关注的事项。一是创联公司为纯持股平台、无人员编制、无实际经营，全部业务通过司拓公司开展，两层股权架构导致权责边界不够清晰；</w:t>
      </w:r>
      <w:r>
        <w:rPr>
          <w:rFonts w:hint="eastAsia"/>
          <w:b w:val="0"/>
          <w:color w:val="000000"/>
          <w:sz w:val="32"/>
          <w:lang w:val="en-US" w:eastAsia="zh-CN"/>
        </w:rPr>
        <w:t>二</w:t>
      </w:r>
      <w:r>
        <w:rPr>
          <w:rFonts w:ascii="仿宋" w:hAnsi="仿宋" w:eastAsia="仿宋"/>
          <w:b w:val="0"/>
          <w:color w:val="000000"/>
          <w:sz w:val="32"/>
        </w:rPr>
        <w:t>是内蒙古机场集团拟撤资创联公司股权事项尚</w:t>
      </w:r>
      <w:r>
        <w:rPr>
          <w:rFonts w:hint="eastAsia"/>
          <w:b w:val="0"/>
          <w:color w:val="000000"/>
          <w:sz w:val="32"/>
          <w:lang w:val="en-US" w:eastAsia="zh-CN"/>
        </w:rPr>
        <w:t>未明晰</w:t>
      </w:r>
      <w:r>
        <w:rPr>
          <w:rFonts w:ascii="仿宋" w:hAnsi="仿宋" w:eastAsia="仿宋"/>
          <w:b w:val="0"/>
          <w:color w:val="000000"/>
          <w:sz w:val="32"/>
        </w:rPr>
        <w:t>，若实施将影响股权结构和治理安排，需持续跟踪。</w:t>
      </w:r>
    </w:p>
    <w:p w14:paraId="2B08D66D">
      <w:pPr>
        <w:keepNext/>
        <w:spacing w:before="120" w:after="60" w:line="560" w:lineRule="exact"/>
        <w:ind w:firstLine="640"/>
        <w:jc w:val="left"/>
      </w:pPr>
      <w:r>
        <w:rPr>
          <w:rFonts w:ascii="楷体" w:hAnsi="楷体" w:eastAsia="楷体"/>
          <w:b/>
          <w:color w:val="000000"/>
          <w:sz w:val="32"/>
        </w:rPr>
        <w:t>（</w:t>
      </w:r>
      <w:r>
        <w:rPr>
          <w:rFonts w:hint="eastAsia" w:ascii="楷体" w:hAnsi="楷体" w:eastAsia="楷体"/>
          <w:b/>
          <w:color w:val="000000"/>
          <w:sz w:val="32"/>
          <w:lang w:val="en-US" w:eastAsia="zh-CN"/>
        </w:rPr>
        <w:t>六</w:t>
      </w:r>
      <w:r>
        <w:rPr>
          <w:rFonts w:ascii="楷体" w:hAnsi="楷体" w:eastAsia="楷体"/>
          <w:b/>
          <w:color w:val="000000"/>
          <w:sz w:val="32"/>
        </w:rPr>
        <w:t>）附表</w:t>
      </w:r>
    </w:p>
    <w:p w14:paraId="53CCA269">
      <w:pPr>
        <w:spacing w:before="0" w:after="0" w:line="540" w:lineRule="exact"/>
        <w:ind w:firstLine="640"/>
        <w:jc w:val="both"/>
      </w:pPr>
      <w:r>
        <w:rPr>
          <w:rFonts w:ascii="仿宋" w:hAnsi="仿宋" w:eastAsia="仿宋"/>
          <w:b w:val="0"/>
          <w:color w:val="000000"/>
          <w:sz w:val="32"/>
        </w:rPr>
        <w:t>对外投资企业股权基本情况详见附表三。</w:t>
      </w:r>
    </w:p>
    <w:p w14:paraId="58EBE69D">
      <w:pPr>
        <w:keepNext/>
        <w:spacing w:before="240" w:after="120" w:line="600" w:lineRule="exact"/>
        <w:jc w:val="center"/>
      </w:pPr>
      <w:r>
        <w:rPr>
          <w:rFonts w:ascii="黑体" w:hAnsi="黑体" w:eastAsia="黑体"/>
          <w:b w:val="0"/>
          <w:color w:val="000000"/>
          <w:sz w:val="32"/>
        </w:rPr>
        <w:t>二、下属企业法人存在合理性与必要性分析</w:t>
      </w:r>
    </w:p>
    <w:p w14:paraId="520A424C">
      <w:pPr>
        <w:keepNext/>
        <w:spacing w:before="120" w:after="60" w:line="560" w:lineRule="exact"/>
        <w:ind w:firstLine="640"/>
        <w:jc w:val="left"/>
      </w:pPr>
      <w:r>
        <w:rPr>
          <w:rFonts w:ascii="楷体" w:hAnsi="楷体" w:eastAsia="楷体"/>
          <w:b/>
          <w:color w:val="000000"/>
          <w:sz w:val="32"/>
        </w:rPr>
        <w:t>（一）下属企业基本情况</w:t>
      </w:r>
    </w:p>
    <w:p w14:paraId="6FD21397">
      <w:pPr>
        <w:keepNext/>
        <w:spacing w:before="120" w:after="60" w:line="560" w:lineRule="exact"/>
        <w:ind w:firstLine="640"/>
        <w:jc w:val="both"/>
        <w:rPr>
          <w:rFonts w:ascii="仿宋" w:hAnsi="仿宋" w:eastAsia="仿宋"/>
          <w:b w:val="0"/>
          <w:sz w:val="32"/>
        </w:rPr>
      </w:pPr>
      <w:r>
        <w:rPr>
          <w:rFonts w:ascii="仿宋" w:hAnsi="仿宋" w:eastAsia="仿宋"/>
          <w:b w:val="0"/>
          <w:color w:val="000000"/>
          <w:sz w:val="32"/>
        </w:rPr>
        <w:t>本次投资形成创联公司、司拓公司两级法人主体，构成“持股平台＋经营主体”的两层架构。创联公司为三家股东共同持股的平台公司，注册资本13,068.77万元，无独立人员编制，成立至今未实际开展经营业务，其职能为持有司拓公司100%股权并对上承接三家股东的出资与决策；司拓公司为创联公司全资子公司，承接原内蒙古机场集团体系内的民航信息化业务，拥有成熟的产品开发能力和初步市场经验，是创联公司全部经营、研发、市场、交付业务的实施主体。对股份公司而言，创联公司为参股企业（持股31%），司拓公司为创联公司全资子公司，二者均不纳入股份公司合并报表范围。</w:t>
      </w:r>
    </w:p>
    <w:p w14:paraId="2D7F29BA">
      <w:pPr>
        <w:keepNext/>
        <w:spacing w:before="120" w:after="60" w:line="560" w:lineRule="exact"/>
        <w:ind w:firstLine="640"/>
        <w:jc w:val="left"/>
      </w:pPr>
      <w:r>
        <w:rPr>
          <w:rFonts w:ascii="楷体" w:hAnsi="楷体" w:eastAsia="楷体"/>
          <w:b/>
          <w:color w:val="000000"/>
          <w:sz w:val="32"/>
        </w:rPr>
        <w:t>（二）竞争能力分析</w:t>
      </w:r>
    </w:p>
    <w:p w14:paraId="76898CD2">
      <w:pPr>
        <w:spacing w:before="0" w:after="0" w:line="540" w:lineRule="exact"/>
        <w:ind w:firstLine="640"/>
        <w:jc w:val="both"/>
      </w:pPr>
      <w:r>
        <w:rPr>
          <w:rFonts w:ascii="仿宋" w:hAnsi="仿宋" w:eastAsia="仿宋"/>
          <w:b w:val="0"/>
          <w:color w:val="000000"/>
          <w:sz w:val="32"/>
        </w:rPr>
        <w:t>1.技术与产品能力较强。司拓公司围绕智慧机场建设形成智慧运行、飞行区运行管控、货邮行保障、稽核计费、智能硬件、数据分析六大产品线，产品实现平台化、模块化集成；累计取得软件著作权49项、申报发明专利10项，完成高新技术企业重新认证和CMMI资质审批；自主研发的智能化防隐载系统通过RFID技术实现货物全流程智能核验，填补了行业空白。技术能力在集团体系内具有不可替代性，且与科技公司现有技术形成互补。</w:t>
      </w:r>
    </w:p>
    <w:p w14:paraId="15F5447B">
      <w:pPr>
        <w:spacing w:before="0" w:after="0" w:line="540" w:lineRule="exact"/>
        <w:ind w:firstLine="640"/>
        <w:jc w:val="both"/>
      </w:pPr>
      <w:r>
        <w:rPr>
          <w:rFonts w:ascii="仿宋" w:hAnsi="仿宋" w:eastAsia="仿宋"/>
          <w:b w:val="0"/>
          <w:color w:val="000000"/>
          <w:sz w:val="32"/>
        </w:rPr>
        <w:t>2.场景与协同优势突出。公司背靠三家股东，产品在首都机场、大兴机场、呼和浩特机场、拉萨机场等核心枢纽及集团内外十余家机场落地应用，形成“运行一张网、监管一平台”的整体解决方案，具备将集团场景优势转化为产品能力的独特条件，这是集团外部同类企业难以复制的竞争优势。</w:t>
      </w:r>
    </w:p>
    <w:p w14:paraId="4518DA09">
      <w:pPr>
        <w:spacing w:before="0" w:after="0" w:line="540" w:lineRule="exact"/>
        <w:ind w:firstLine="640"/>
        <w:jc w:val="both"/>
      </w:pPr>
      <w:r>
        <w:rPr>
          <w:rFonts w:ascii="仿宋" w:hAnsi="仿宋" w:eastAsia="仿宋"/>
          <w:b w:val="0"/>
          <w:color w:val="000000"/>
          <w:sz w:val="32"/>
        </w:rPr>
        <w:t>3.市场与品牌影响力初步建立。相关产品在十余场国内外会议和展会专项推介，获《中国民航报》《民航管理》等专业期刊报道及中央电视台、新华社、人民网等媒体关注，在行业内初步树立“智慧机场解决方案提供方”形象。</w:t>
      </w:r>
    </w:p>
    <w:p w14:paraId="588C94A9">
      <w:pPr>
        <w:spacing w:before="0" w:after="0" w:line="540" w:lineRule="exact"/>
        <w:ind w:firstLine="640"/>
        <w:jc w:val="both"/>
      </w:pPr>
      <w:r>
        <w:rPr>
          <w:rFonts w:ascii="仿宋" w:hAnsi="仿宋" w:eastAsia="仿宋"/>
          <w:b w:val="0"/>
          <w:color w:val="000000"/>
          <w:sz w:val="32"/>
        </w:rPr>
        <w:t>4.市场化竞争能力偏弱。一是客户结构高度集中于集团内部，集团外市场渗透率低，尚未形成全国范围的规模化推广；二是营运效率偏低，2024年、2025年应收账款周转率仅为0.38次、0.61次，对应回款周期约961天、598天，总资产周转率仅0.083次、0.134次，远低于行业健康水平；三是收入规模与资产、人员规模不匹配，2024年、2025年营业收入分别仅完成可研预期的9.9%、12.75%。总体判断，下属企业属“技术强、市场弱”的技术依附型企业，市场化经营能力尚不足以支撑独立发展。</w:t>
      </w:r>
    </w:p>
    <w:p w14:paraId="05835016">
      <w:pPr>
        <w:keepNext/>
        <w:spacing w:before="120" w:after="60" w:line="560" w:lineRule="exact"/>
        <w:ind w:firstLine="640"/>
        <w:jc w:val="left"/>
      </w:pPr>
      <w:r>
        <w:rPr>
          <w:rFonts w:ascii="楷体" w:hAnsi="楷体" w:eastAsia="楷体"/>
          <w:b/>
          <w:color w:val="000000"/>
          <w:sz w:val="32"/>
        </w:rPr>
        <w:t>（三）投资回报分析</w:t>
      </w:r>
    </w:p>
    <w:p w14:paraId="2178C52C">
      <w:pPr>
        <w:spacing w:before="0" w:after="0" w:line="540" w:lineRule="exact"/>
        <w:ind w:firstLine="640"/>
        <w:jc w:val="both"/>
        <w:rPr>
          <w:rFonts w:hint="eastAsia" w:eastAsia="仿宋"/>
          <w:lang w:val="en-US" w:eastAsia="zh-CN"/>
        </w:rPr>
      </w:pPr>
      <w:r>
        <w:rPr>
          <w:rFonts w:ascii="仿宋" w:hAnsi="仿宋" w:eastAsia="仿宋"/>
          <w:b w:val="0"/>
          <w:color w:val="000000"/>
          <w:sz w:val="32"/>
        </w:rPr>
        <w:t>1.收入与盈利（创联公司合并口径）。2024年、2025年营业收入分别为1,566万元、2,251万元，2025年同比增长43.7%；但两年利润总额分别为-1,834万元、-1,399万元，净利润分别为-1,680万元、-1,448万元，连续亏损。毛利率分别为32.31%、57.66%，显著高于</w:t>
      </w:r>
      <w:r>
        <w:rPr>
          <w:rFonts w:ascii="仿宋" w:hAnsi="仿宋" w:eastAsia="仿宋"/>
          <w:b w:val="0"/>
          <w:color w:val="000000"/>
          <w:sz w:val="32"/>
          <w:highlight w:val="none"/>
        </w:rPr>
        <w:t>可研</w:t>
      </w:r>
      <w:r>
        <w:rPr>
          <w:rFonts w:hint="eastAsia"/>
          <w:b w:val="0"/>
          <w:color w:val="000000"/>
          <w:sz w:val="32"/>
          <w:highlight w:val="none"/>
          <w:lang w:val="en-US" w:eastAsia="zh-CN"/>
        </w:rPr>
        <w:t>报告中对2024年、2025年毛利率</w:t>
      </w:r>
      <w:r>
        <w:rPr>
          <w:rFonts w:ascii="仿宋" w:hAnsi="仿宋" w:eastAsia="仿宋"/>
          <w:b w:val="0"/>
          <w:color w:val="000000"/>
          <w:sz w:val="32"/>
          <w:highlight w:val="none"/>
        </w:rPr>
        <w:t>预期的25.7%，说明产品本身盈利能力较强，亏损的主要成因</w:t>
      </w:r>
      <w:r>
        <w:rPr>
          <w:rFonts w:ascii="仿宋" w:hAnsi="仿宋" w:eastAsia="仿宋"/>
          <w:b w:val="0"/>
          <w:color w:val="000000"/>
          <w:sz w:val="32"/>
        </w:rPr>
        <w:t>是收入规模不足导致固定成本分摊过高、规模效应无法释放。</w:t>
      </w:r>
      <w:r>
        <w:rPr>
          <w:rFonts w:hint="eastAsia"/>
          <w:b w:val="0"/>
          <w:color w:val="000000"/>
          <w:sz w:val="32"/>
          <w:lang w:val="en-US" w:eastAsia="zh-CN"/>
        </w:rPr>
        <w:t xml:space="preserve"> </w:t>
      </w:r>
    </w:p>
    <w:p w14:paraId="550920E4">
      <w:pPr>
        <w:spacing w:before="0" w:after="0" w:line="540" w:lineRule="exact"/>
        <w:ind w:firstLine="640"/>
        <w:jc w:val="both"/>
      </w:pPr>
      <w:r>
        <w:rPr>
          <w:rFonts w:ascii="仿宋" w:hAnsi="仿宋" w:eastAsia="仿宋"/>
          <w:b w:val="0"/>
          <w:color w:val="000000"/>
          <w:sz w:val="32"/>
        </w:rPr>
        <w:t>2.归属于股份公司的回报。按31%持股比例折算，2024年、2025年对应股份公司的投资损失分别约为520.</w:t>
      </w:r>
      <w:r>
        <w:rPr>
          <w:rFonts w:hint="eastAsia"/>
          <w:b w:val="0"/>
          <w:color w:val="000000"/>
          <w:sz w:val="32"/>
          <w:lang w:val="en-US" w:eastAsia="zh-CN"/>
        </w:rPr>
        <w:t>80</w:t>
      </w:r>
      <w:r>
        <w:rPr>
          <w:rFonts w:ascii="仿宋" w:hAnsi="仿宋" w:eastAsia="仿宋"/>
          <w:b w:val="0"/>
          <w:color w:val="000000"/>
          <w:sz w:val="32"/>
        </w:rPr>
        <w:t>万元、448.</w:t>
      </w:r>
      <w:r>
        <w:rPr>
          <w:rFonts w:hint="eastAsia"/>
          <w:b w:val="0"/>
          <w:color w:val="000000"/>
          <w:sz w:val="32"/>
          <w:lang w:val="en-US" w:eastAsia="zh-CN"/>
        </w:rPr>
        <w:t>88</w:t>
      </w:r>
      <w:r>
        <w:rPr>
          <w:rFonts w:ascii="仿宋" w:hAnsi="仿宋" w:eastAsia="仿宋"/>
          <w:b w:val="0"/>
          <w:color w:val="000000"/>
          <w:sz w:val="32"/>
        </w:rPr>
        <w:t>万元，2026年1—9月</w:t>
      </w:r>
      <w:r>
        <w:rPr>
          <w:rFonts w:hint="eastAsia"/>
          <w:b w:val="0"/>
          <w:color w:val="000000"/>
          <w:sz w:val="32"/>
          <w:lang w:val="en-US" w:eastAsia="zh-CN"/>
        </w:rPr>
        <w:t>约</w:t>
      </w:r>
      <w:r>
        <w:rPr>
          <w:rFonts w:ascii="仿宋" w:hAnsi="仿宋" w:eastAsia="仿宋"/>
          <w:b w:val="0"/>
          <w:color w:val="000000"/>
          <w:sz w:val="32"/>
        </w:rPr>
        <w:t>为153.88万元，2024年至2026年9月累计约1,123.49万元；同期公司实际取得现金分红仅55.8万元。回报指标方面，2024年、2025年创联公司净资产收益率分别为-10.3%、-9.9%，与可研预期11.2%存在方向性偏离；资本保值增值率分别为90.17%、89.43%，连续两年低于100%，股东权益持续被侵蚀，股份公司享有的权益份额同步下降。</w:t>
      </w:r>
    </w:p>
    <w:p w14:paraId="071B8BD5">
      <w:pPr>
        <w:spacing w:before="0" w:after="0" w:line="540" w:lineRule="exact"/>
        <w:ind w:firstLine="640"/>
        <w:jc w:val="both"/>
      </w:pPr>
      <w:r>
        <w:rPr>
          <w:rFonts w:ascii="仿宋" w:hAnsi="仿宋" w:eastAsia="仿宋"/>
          <w:b w:val="0"/>
          <w:color w:val="000000"/>
          <w:sz w:val="32"/>
        </w:rPr>
        <w:t>3.回报趋势。剔除商誉减值这一非经营性因素后，2024年、2025年经调整净利润分别为-930万元、-56万元，亏损大幅收窄，2025年已接近盈亏平衡，经营基本面处于修复阶段，但距离实现正向投资回报仍有较大差距。</w:t>
      </w:r>
      <w:r>
        <w:rPr>
          <w:rFonts w:hint="eastAsia"/>
          <w:b w:val="0"/>
          <w:color w:val="000000"/>
          <w:sz w:val="32"/>
          <w:lang w:val="en-US" w:eastAsia="zh-CN"/>
        </w:rPr>
        <w:t>投资</w:t>
      </w:r>
      <w:r>
        <w:rPr>
          <w:rFonts w:ascii="仿宋" w:hAnsi="仿宋" w:eastAsia="仿宋"/>
          <w:b w:val="0"/>
          <w:color w:val="000000"/>
          <w:sz w:val="32"/>
        </w:rPr>
        <w:t>后评价</w:t>
      </w:r>
      <w:r>
        <w:rPr>
          <w:rFonts w:hint="eastAsia"/>
          <w:b w:val="0"/>
          <w:color w:val="000000"/>
          <w:sz w:val="32"/>
          <w:lang w:val="en-US" w:eastAsia="zh-CN"/>
        </w:rPr>
        <w:t>报告</w:t>
      </w:r>
      <w:r>
        <w:rPr>
          <w:rFonts w:ascii="仿宋" w:hAnsi="仿宋" w:eastAsia="仿宋"/>
          <w:b w:val="0"/>
          <w:color w:val="000000"/>
          <w:sz w:val="32"/>
        </w:rPr>
        <w:t>结论为“部分成功”，即战略与技术目标基本达成、财务回报目标未达成。</w:t>
      </w:r>
    </w:p>
    <w:p w14:paraId="14682AE5">
      <w:pPr>
        <w:keepNext/>
        <w:spacing w:before="120" w:after="60" w:line="560" w:lineRule="exact"/>
        <w:ind w:firstLine="640"/>
        <w:jc w:val="left"/>
      </w:pPr>
      <w:r>
        <w:rPr>
          <w:rFonts w:ascii="楷体" w:hAnsi="楷体" w:eastAsia="楷体"/>
          <w:b/>
          <w:color w:val="000000"/>
          <w:sz w:val="32"/>
        </w:rPr>
        <w:t>（四）下属企业法人存在的必要性判断</w:t>
      </w:r>
    </w:p>
    <w:p w14:paraId="661E4A8B">
      <w:pPr>
        <w:spacing w:before="0" w:after="0" w:line="540" w:lineRule="exact"/>
        <w:ind w:firstLine="640"/>
        <w:jc w:val="both"/>
      </w:pPr>
      <w:r>
        <w:rPr>
          <w:rFonts w:ascii="仿宋" w:hAnsi="仿宋" w:eastAsia="仿宋"/>
          <w:b w:val="0"/>
          <w:color w:val="000000"/>
          <w:sz w:val="32"/>
        </w:rPr>
        <w:t>综合竞争能力和投资回报两方面，创联公司、司拓公司两级法人存在具有必要性</w:t>
      </w:r>
      <w:r>
        <w:rPr>
          <w:rFonts w:hint="eastAsia"/>
          <w:b w:val="0"/>
          <w:color w:val="000000"/>
          <w:sz w:val="32"/>
          <w:lang w:eastAsia="zh-CN"/>
        </w:rPr>
        <w:t>，</w:t>
      </w:r>
      <w:r>
        <w:rPr>
          <w:rFonts w:ascii="仿宋" w:hAnsi="仿宋" w:eastAsia="仿宋"/>
          <w:b w:val="0"/>
          <w:color w:val="000000"/>
          <w:sz w:val="32"/>
        </w:rPr>
        <w:t>但必要性的支撑点在于主业支撑与战略功能，而非财务回报，且须以限期实现经营性盈亏平衡为前提。具体理由如下：</w:t>
      </w:r>
    </w:p>
    <w:p w14:paraId="536DDCB2">
      <w:pPr>
        <w:spacing w:before="0" w:after="0" w:line="540" w:lineRule="exact"/>
        <w:ind w:firstLine="640"/>
        <w:jc w:val="both"/>
      </w:pPr>
      <w:r>
        <w:rPr>
          <w:rFonts w:ascii="仿宋" w:hAnsi="仿宋" w:eastAsia="仿宋"/>
          <w:b w:val="0"/>
          <w:color w:val="000000"/>
          <w:sz w:val="32"/>
        </w:rPr>
        <w:t>1.补足股份公司自身不具备的能力。股份公司主业为首都机场的运营管理，智慧机场信息系统的研发、产品化与对外销售不在公司主业范围和能力边界之内。设立独立法人</w:t>
      </w:r>
      <w:r>
        <w:rPr>
          <w:rFonts w:hint="eastAsia"/>
          <w:b w:val="0"/>
          <w:color w:val="000000"/>
          <w:sz w:val="32"/>
          <w:lang w:val="en-US" w:eastAsia="zh-CN"/>
        </w:rPr>
        <w:t>公司</w:t>
      </w:r>
      <w:r>
        <w:rPr>
          <w:rFonts w:ascii="仿宋" w:hAnsi="仿宋" w:eastAsia="仿宋"/>
          <w:b w:val="0"/>
          <w:color w:val="000000"/>
          <w:sz w:val="32"/>
        </w:rPr>
        <w:t>，是集中创新资源、实现成果产品化和商业化的必要路径。</w:t>
      </w:r>
    </w:p>
    <w:p w14:paraId="7C41ADFB">
      <w:pPr>
        <w:spacing w:before="0" w:after="0" w:line="540" w:lineRule="exact"/>
        <w:ind w:firstLine="640"/>
        <w:jc w:val="both"/>
      </w:pPr>
      <w:r>
        <w:rPr>
          <w:rFonts w:ascii="仿宋" w:hAnsi="仿宋" w:eastAsia="仿宋"/>
          <w:b w:val="0"/>
          <w:color w:val="000000"/>
          <w:sz w:val="32"/>
        </w:rPr>
        <w:t>2.把枢纽场景优势转化为可用能力。股份公司拥有超大国际枢纽的真实运行场景、业务流程和数据资源，是智慧机场产品最好的验证与迭代环境。但场景优势不会自动转化为能力，必须有一个能够承接研发、持有知识产权、对外签约交付的市场主体。股份公司以股东身份提供场景、以客户身份采购成果，比由公司内部部门直接对外经营更符合上市公司规范运作要求。</w:t>
      </w:r>
    </w:p>
    <w:p w14:paraId="61956CD9">
      <w:pPr>
        <w:spacing w:before="0" w:after="0" w:line="540" w:lineRule="exact"/>
        <w:ind w:firstLine="640"/>
        <w:jc w:val="both"/>
      </w:pPr>
      <w:r>
        <w:rPr>
          <w:rFonts w:ascii="仿宋" w:hAnsi="仿宋" w:eastAsia="仿宋"/>
          <w:b w:val="0"/>
          <w:color w:val="000000"/>
          <w:sz w:val="32"/>
        </w:rPr>
        <w:t>3.风险隔离与责任边界清晰。智慧机场产品属技术创业型业务，前期投入大、回报周期长、失败概率高。股份公司以出资额4,051.32万元为限承担有限责任，可将技术投入和市场风险隔离在上市公司体外，避免其影响公司主业的财务表现和资产质量；创联公司、司拓公司独立签约、独立核算、独立承担经营与法律风险，符合上市公司规范运作和国资监管关于子企业独立运营、权责对等的要求。</w:t>
      </w:r>
    </w:p>
    <w:p w14:paraId="1817D7AC">
      <w:pPr>
        <w:spacing w:before="0" w:after="0" w:line="540" w:lineRule="exact"/>
        <w:ind w:firstLine="640"/>
        <w:jc w:val="both"/>
      </w:pPr>
      <w:r>
        <w:rPr>
          <w:rFonts w:ascii="仿宋" w:hAnsi="仿宋" w:eastAsia="仿宋"/>
          <w:b w:val="0"/>
          <w:color w:val="000000"/>
          <w:sz w:val="32"/>
        </w:rPr>
        <w:t>4.承载资质与知识产权的必要载体。高新技术企业资质、CMMI认证、49项软件著作权、10项发明专利均须以企业法人名义取得和维持，是参与民航信息化市场竞争的准入门槛；脱离法人主体则无法承继，也不具备对外投标、签约、交付的主体资格。</w:t>
      </w:r>
    </w:p>
    <w:p w14:paraId="076F7101">
      <w:pPr>
        <w:spacing w:before="0" w:after="0" w:line="540" w:lineRule="exact"/>
        <w:ind w:firstLine="640"/>
        <w:jc w:val="both"/>
      </w:pPr>
      <w:r>
        <w:rPr>
          <w:rFonts w:hint="eastAsia"/>
          <w:b w:val="0"/>
          <w:color w:val="000000"/>
          <w:sz w:val="32"/>
          <w:lang w:val="en-US" w:eastAsia="zh-CN"/>
        </w:rPr>
        <w:t>5</w:t>
      </w:r>
      <w:r>
        <w:rPr>
          <w:rFonts w:ascii="仿宋" w:hAnsi="仿宋" w:eastAsia="仿宋"/>
          <w:b w:val="0"/>
          <w:color w:val="000000"/>
          <w:sz w:val="32"/>
        </w:rPr>
        <w:t>.三家股东联合出资是“场景＋产品＋技术”的必需组合。股份公司提供枢纽场景与业务需求，内蒙古机场集团注入司拓公司成熟产品与团队，科技公司提供技术统筹与研发支撑，三方缺一不可；法人架构是三方责权利对等、风险共担的必要实现形式。</w:t>
      </w:r>
    </w:p>
    <w:p w14:paraId="076F7101">
      <w:pPr>
        <w:spacing w:before="0" w:after="0" w:line="540" w:lineRule="exact"/>
        <w:ind w:firstLine="640"/>
        <w:jc w:val="both"/>
      </w:pPr>
      <w:r>
        <w:rPr>
          <w:color w:val="000000"/>
          <w:sz w:val="24"/>
        </w:rPr>
        <w:t>6.必要性的量化门槛（建议新增，作为存续评价依据）：</w:t>
      </w:r>
    </w:p>
    <w:p w14:paraId="076F7101">
      <w:pPr>
        <w:spacing w:before="0" w:after="0" w:line="540" w:lineRule="exact"/>
        <w:ind w:firstLine="640"/>
        <w:jc w:val="both"/>
      </w:pPr>
      <w:r>
        <w:rPr>
          <w:color w:val="000000"/>
          <w:sz w:val="24"/>
        </w:rPr>
        <w:t xml:space="preserve">　①经营性盈亏平衡：2027年度经调整净利润≥0（剔除商誉减值等非经营性因素）；</w:t>
      </w:r>
    </w:p>
    <w:p w14:paraId="076F7101">
      <w:pPr>
        <w:spacing w:before="0" w:after="0" w:line="540" w:lineRule="exact"/>
        <w:ind w:firstLine="640"/>
        <w:jc w:val="both"/>
      </w:pPr>
      <w:r>
        <w:rPr>
          <w:color w:val="000000"/>
          <w:sz w:val="24"/>
        </w:rPr>
        <w:t xml:space="preserve">　②营运效率：应收账款周转率≥1.0次（对应回款周期≤365天）；</w:t>
      </w:r>
    </w:p>
    <w:p w14:paraId="076F7101">
      <w:pPr>
        <w:spacing w:before="0" w:after="0" w:line="540" w:lineRule="exact"/>
        <w:ind w:firstLine="640"/>
        <w:jc w:val="both"/>
      </w:pPr>
      <w:r>
        <w:rPr>
          <w:color w:val="000000"/>
          <w:sz w:val="24"/>
        </w:rPr>
        <w:t xml:space="preserve">　③市场独立性：集团外营业收入占比≥30%；</w:t>
      </w:r>
    </w:p>
    <w:p w14:paraId="076F7101">
      <w:pPr>
        <w:spacing w:before="0" w:after="0" w:line="540" w:lineRule="exact"/>
        <w:ind w:firstLine="640"/>
        <w:jc w:val="both"/>
      </w:pPr>
      <w:r>
        <w:rPr>
          <w:color w:val="000000"/>
          <w:sz w:val="24"/>
        </w:rPr>
        <w:t xml:space="preserve">　④投入约束：2027年起不再新增股东借款或增资。上述四项任一项未达成，应启动法人层级优化或退出评估。</w:t>
      </w:r>
    </w:p>
    <w:p w14:paraId="51E668F1">
      <w:pPr>
        <w:spacing w:before="0" w:after="0" w:line="540" w:lineRule="exact"/>
        <w:ind w:firstLine="640"/>
        <w:jc w:val="both"/>
      </w:pPr>
      <w:r>
        <w:rPr>
          <w:rFonts w:ascii="仿宋" w:hAnsi="仿宋" w:eastAsia="仿宋"/>
          <w:b w:val="0"/>
          <w:color w:val="000000"/>
          <w:sz w:val="32"/>
        </w:rPr>
        <w:t>同时应当指出，法人存在的必要性以持续经营能力为前提。若合资公司长期无法实现经营性盈亏平衡、持续依赖股东投入，其法人存续的必要性将受到质疑。因此，应设定2027年实现经营性盈亏平衡的刚性目标，并将其作为下一步存续评价的核心依据。</w:t>
      </w:r>
    </w:p>
    <w:p w14:paraId="38A822D2">
      <w:pPr>
        <w:keepNext/>
        <w:spacing w:before="120" w:after="60" w:line="560" w:lineRule="exact"/>
        <w:ind w:firstLine="640"/>
        <w:jc w:val="left"/>
      </w:pPr>
      <w:r>
        <w:rPr>
          <w:rFonts w:ascii="楷体" w:hAnsi="楷体" w:eastAsia="楷体"/>
          <w:b/>
          <w:color w:val="000000"/>
          <w:sz w:val="32"/>
        </w:rPr>
        <w:t>（五）股权架构合理性分析</w:t>
      </w:r>
    </w:p>
    <w:p w14:paraId="0265CF38">
      <w:pPr>
        <w:spacing w:before="0" w:after="0" w:line="540" w:lineRule="exact"/>
        <w:ind w:firstLine="640"/>
        <w:jc w:val="both"/>
      </w:pPr>
      <w:r>
        <w:rPr>
          <w:rFonts w:ascii="仿宋" w:hAnsi="仿宋" w:eastAsia="仿宋"/>
          <w:b w:val="0"/>
          <w:color w:val="000000"/>
          <w:sz w:val="32"/>
        </w:rPr>
        <w:t>1.与自身主业的关联性。创联公司、司拓公司的业务全部围绕机场运行、安全、服务、管理等智慧机场场景展开，与股份公司智慧机场建设需求直接对应，属公司主业的数字化支撑与能力延伸，投资逻辑是“以股权换能力”，不存在偏离主业、盲目多元化的问题；股份公司不从事信息系统研发与销售，该业务与公司现有业务不构成同业竞争。从业务属性看，股权架构服务于公司主业战略，具备合理性。</w:t>
      </w:r>
    </w:p>
    <w:p w14:paraId="5B469F3D">
      <w:pPr>
        <w:spacing w:before="0" w:after="0" w:line="540" w:lineRule="exact"/>
        <w:ind w:firstLine="640"/>
        <w:jc w:val="both"/>
      </w:pPr>
      <w:r>
        <w:rPr>
          <w:rFonts w:ascii="仿宋" w:hAnsi="仿宋" w:eastAsia="仿宋"/>
          <w:b w:val="0"/>
          <w:color w:val="000000"/>
          <w:sz w:val="32"/>
        </w:rPr>
        <w:t>2.下属企业之间的关联业务。创联公司与司拓公司为100%母子公司关系，创联公司不经营、不占用业务资源，仅承担持股与决策职能；司拓公司为唯一经营主体。二者之间不存在同业竞争、业务重叠和内部交易定价问题，业务关系简单清晰。</w:t>
      </w:r>
    </w:p>
    <w:p w14:paraId="49D895F9">
      <w:pPr>
        <w:spacing w:before="0" w:after="0" w:line="540" w:lineRule="exact"/>
        <w:ind w:firstLine="640"/>
        <w:jc w:val="both"/>
      </w:pPr>
      <w:r>
        <w:rPr>
          <w:rFonts w:ascii="仿宋" w:hAnsi="仿宋" w:eastAsia="仿宋"/>
          <w:b w:val="0"/>
          <w:color w:val="000000"/>
          <w:sz w:val="32"/>
        </w:rPr>
        <w:t>3.与其他关联企业的关联业务。一方面，三家股东同时兼具“股东、客户、场景提供方”三重身份，创联公司收入主要来源于集团内部机场的智慧机场建设项目（如防隐载系统、稽核系统），关联交易占比较高，业务独立性不足，对集团内部市场依赖程度深；对股份公司而言，向创联公司、司拓公司采购系统属公司与联营企业之间的关联交易，须按公司关联交易管理制度履行审议、披露程序，并按市场公允价格结算。另一方面，科技公司作为集团公司科创板块统筹主体，与创联公司在产品研发、项目承接上存在职能交叉，业务边界需进一步厘清。</w:t>
      </w:r>
    </w:p>
    <w:p w14:paraId="139A5B28">
      <w:pPr>
        <w:spacing w:before="0" w:after="0" w:line="540" w:lineRule="exact"/>
        <w:ind w:firstLine="640"/>
        <w:jc w:val="both"/>
      </w:pPr>
      <w:r>
        <w:rPr>
          <w:rFonts w:ascii="仿宋" w:hAnsi="仿宋" w:eastAsia="仿宋"/>
          <w:b w:val="0"/>
          <w:color w:val="000000"/>
          <w:sz w:val="32"/>
        </w:rPr>
        <w:t>4.架构的合理性与短板。从“集团内多元股东共同出资＋专业子公司独立经营”这一层面看，股权架构兼顾了场景资源整合、技术统筹和市场化经营，具有合理性和必要性；但从“持股平台＋经营主体”的两层架构看，创联公司无人员、无经营、无实质功能，仅作为持股通道存在，导致决策链条拉长、管理成本增加、经营主体与持股平台权责划分不清，不利于市场化机制落地、人才团队建设和长期规模化发展，已成为制约其可持续发展的核心内部因素。</w:t>
      </w:r>
    </w:p>
    <w:p w14:paraId="139A5B28">
      <w:pPr>
        <w:spacing w:before="0" w:after="0" w:line="540" w:lineRule="exact"/>
        <w:ind w:firstLine="640"/>
        <w:jc w:val="both"/>
      </w:pPr>
      <w:r>
        <w:rPr>
          <w:color w:val="000000"/>
          <w:sz w:val="24"/>
        </w:rPr>
        <w:t>5.关于内蒙古机场集团拟撤资的应对（建议新增）：</w:t>
      </w:r>
    </w:p>
    <w:p w14:paraId="139A5B28">
      <w:pPr>
        <w:spacing w:before="0" w:after="0" w:line="540" w:lineRule="exact"/>
        <w:ind w:firstLine="640"/>
        <w:jc w:val="both"/>
      </w:pPr>
      <w:r>
        <w:rPr>
          <w:color w:val="000000"/>
          <w:sz w:val="24"/>
        </w:rPr>
        <w:t xml:space="preserve">　情形一，股份公司行使优先购买权，按31%比例受让，持股升至62%并取得控制权，需纳入合并报表，须评估并表后的资产负债结构影响；</w:t>
      </w:r>
    </w:p>
    <w:p w14:paraId="139A5B28">
      <w:pPr>
        <w:spacing w:before="0" w:after="0" w:line="540" w:lineRule="exact"/>
        <w:ind w:firstLine="640"/>
        <w:jc w:val="both"/>
      </w:pPr>
      <w:r>
        <w:rPr>
          <w:color w:val="000000"/>
          <w:sz w:val="24"/>
        </w:rPr>
        <w:t xml:space="preserve">　情形二，放弃优先购买权，由科技公司受让，股份公司持股维持31%，需重新评估少数股东权益保护条款；</w:t>
      </w:r>
    </w:p>
    <w:p w14:paraId="139A5B28">
      <w:pPr>
        <w:spacing w:before="0" w:after="0" w:line="540" w:lineRule="exact"/>
        <w:ind w:firstLine="640"/>
        <w:jc w:val="both"/>
      </w:pPr>
      <w:r>
        <w:rPr>
          <w:color w:val="000000"/>
          <w:sz w:val="24"/>
        </w:rPr>
        <w:t xml:space="preserve">　情形三，同步推进创联公司与司拓公司吸收合并后再调整股权，可一并解决两层架构问题。建议以情形三为主线，情形一为备选。</w:t>
      </w:r>
    </w:p>
    <w:p w14:paraId="701696BF">
      <w:pPr>
        <w:spacing w:before="0" w:after="0" w:line="540" w:lineRule="exact"/>
        <w:jc w:val="center"/>
        <w:rPr>
          <w:rFonts w:hint="eastAsia" w:ascii="黑体" w:hAnsi="黑体" w:eastAsia="黑体"/>
          <w:b w:val="0"/>
          <w:sz w:val="32"/>
          <w:lang w:eastAsia="zh-CN"/>
        </w:rPr>
      </w:pPr>
      <w:r>
        <w:rPr>
          <w:rFonts w:ascii="黑体" w:hAnsi="黑体" w:eastAsia="黑体"/>
          <w:b w:val="0"/>
          <w:color w:val="000000"/>
          <w:sz w:val="32"/>
        </w:rPr>
        <w:t>三、</w:t>
      </w:r>
      <w:r>
        <w:rPr>
          <w:rFonts w:hint="eastAsia" w:ascii="黑体" w:hAnsi="黑体" w:eastAsia="黑体"/>
          <w:b w:val="0"/>
          <w:color w:val="000000"/>
          <w:sz w:val="32"/>
          <w:lang w:val="en-US" w:eastAsia="zh-CN"/>
        </w:rPr>
        <w:t>小结</w:t>
      </w:r>
    </w:p>
    <w:p w14:paraId="4624736E">
      <w:pPr>
        <w:spacing w:before="0" w:after="0" w:line="540" w:lineRule="exact"/>
        <w:ind w:firstLine="640"/>
        <w:jc w:val="both"/>
      </w:pPr>
      <w:r>
        <w:rPr>
          <w:rFonts w:ascii="楷体" w:hAnsi="楷体" w:eastAsia="楷体"/>
          <w:b w:val="0"/>
          <w:bCs/>
          <w:color w:val="000000"/>
          <w:sz w:val="32"/>
        </w:rPr>
        <w:t>（一）</w:t>
      </w:r>
      <w:r>
        <w:rPr>
          <w:rFonts w:ascii="楷体" w:hAnsi="楷体" w:eastAsia="楷体"/>
          <w:b/>
          <w:color w:val="000000"/>
          <w:sz w:val="32"/>
        </w:rPr>
        <w:t>股权基本情况清晰。</w:t>
      </w:r>
      <w:r>
        <w:rPr>
          <w:rFonts w:ascii="仿宋" w:hAnsi="仿宋" w:eastAsia="仿宋"/>
          <w:b w:val="0"/>
          <w:color w:val="000000"/>
          <w:sz w:val="32"/>
        </w:rPr>
        <w:t>股份公司以货币出资4,051.32万元持有创联公司31%股权，出资已于2023年</w:t>
      </w:r>
      <w:r>
        <w:rPr>
          <w:rFonts w:hint="eastAsia"/>
          <w:b w:val="0"/>
          <w:color w:val="000000"/>
          <w:sz w:val="32"/>
          <w:lang w:val="en-US" w:eastAsia="zh-CN"/>
        </w:rPr>
        <w:t>7</w:t>
      </w:r>
      <w:r>
        <w:rPr>
          <w:rFonts w:ascii="仿宋" w:hAnsi="仿宋" w:eastAsia="仿宋"/>
          <w:b w:val="0"/>
          <w:color w:val="000000"/>
          <w:sz w:val="32"/>
        </w:rPr>
        <w:t>月足额实缴到位；三家股东合计出资13,068.77万元、持股100%，股权权属清晰，不存在产权不清晰、代持、代管、吊销未注销等情形。公司已累计取得分红55.8万元；按31%持股比例折算，2025年末</w:t>
      </w:r>
      <w:r>
        <w:rPr>
          <w:rFonts w:hint="eastAsia"/>
          <w:b w:val="0"/>
          <w:color w:val="000000"/>
          <w:sz w:val="32"/>
          <w:lang w:val="en-US" w:eastAsia="zh-CN"/>
        </w:rPr>
        <w:t>股份</w:t>
      </w:r>
      <w:r>
        <w:rPr>
          <w:rFonts w:ascii="仿宋" w:hAnsi="仿宋" w:eastAsia="仿宋"/>
          <w:b w:val="0"/>
          <w:color w:val="000000"/>
          <w:sz w:val="32"/>
        </w:rPr>
        <w:t>公司享有权益4,271.57万元、累计回报276.05万元（回报率6.81%），2026年9月末降至4,117.68万元、累计回报122.16万元（回报率3.02%），预计年末享有权益约4,117.73万元、累计回报122.21万元。但从实质看，2024年至2026年9月累计净亏损3,624.</w:t>
      </w:r>
      <w:r>
        <w:rPr>
          <w:rFonts w:hint="eastAsia"/>
          <w:b w:val="0"/>
          <w:color w:val="000000"/>
          <w:sz w:val="32"/>
          <w:lang w:val="en-US" w:eastAsia="zh-CN"/>
        </w:rPr>
        <w:t>40</w:t>
      </w:r>
      <w:r>
        <w:rPr>
          <w:rFonts w:ascii="仿宋" w:hAnsi="仿宋" w:eastAsia="仿宋"/>
          <w:b w:val="0"/>
          <w:color w:val="000000"/>
          <w:sz w:val="32"/>
        </w:rPr>
        <w:t>万元，账面增值主要来源于司拓公司股权出资的评估增</w:t>
      </w:r>
      <w:r>
        <w:rPr>
          <w:rFonts w:ascii="仿宋" w:hAnsi="仿宋" w:eastAsia="仿宋"/>
          <w:b w:val="0"/>
          <w:color w:val="000000"/>
          <w:sz w:val="32"/>
          <w:highlight w:val="none"/>
        </w:rPr>
        <w:t>值（</w:t>
      </w:r>
      <w:r>
        <w:rPr>
          <w:rFonts w:hint="eastAsia"/>
          <w:b w:val="0"/>
          <w:color w:val="000000"/>
          <w:sz w:val="32"/>
          <w:highlight w:val="none"/>
          <w:lang w:val="en-US" w:eastAsia="zh-CN"/>
        </w:rPr>
        <w:t>合并口径</w:t>
      </w:r>
      <w:r>
        <w:rPr>
          <w:rFonts w:ascii="仿宋" w:hAnsi="仿宋" w:eastAsia="仿宋"/>
          <w:b w:val="0"/>
          <w:color w:val="000000"/>
          <w:sz w:val="32"/>
          <w:highlight w:val="none"/>
        </w:rPr>
        <w:t>资本公积3,5</w:t>
      </w:r>
      <w:r>
        <w:rPr>
          <w:rFonts w:hint="eastAsia"/>
          <w:b w:val="0"/>
          <w:color w:val="000000"/>
          <w:sz w:val="32"/>
          <w:highlight w:val="none"/>
          <w:lang w:val="en-US" w:eastAsia="zh-CN"/>
        </w:rPr>
        <w:t>90</w:t>
      </w:r>
      <w:r>
        <w:rPr>
          <w:rFonts w:ascii="仿宋" w:hAnsi="仿宋" w:eastAsia="仿宋"/>
          <w:b w:val="0"/>
          <w:color w:val="000000"/>
          <w:sz w:val="32"/>
          <w:highlight w:val="none"/>
        </w:rPr>
        <w:t>.94万元），并非经营积累，投资回报尚未真正</w:t>
      </w:r>
      <w:r>
        <w:rPr>
          <w:rFonts w:ascii="仿宋" w:hAnsi="仿宋" w:eastAsia="仿宋"/>
          <w:b w:val="0"/>
          <w:color w:val="000000"/>
          <w:sz w:val="32"/>
        </w:rPr>
        <w:t>实现。</w:t>
      </w:r>
    </w:p>
    <w:p w14:paraId="797B4AA2">
      <w:pPr>
        <w:numPr>
          <w:ilvl w:val="0"/>
          <w:numId w:val="7"/>
        </w:numPr>
        <w:spacing w:before="0" w:after="0" w:line="540" w:lineRule="exact"/>
        <w:ind w:firstLine="640"/>
        <w:jc w:val="both"/>
      </w:pPr>
      <w:r>
        <w:rPr>
          <w:rFonts w:ascii="仿宋" w:hAnsi="仿宋" w:eastAsia="仿宋"/>
          <w:b/>
          <w:bCs/>
          <w:color w:val="000000"/>
          <w:sz w:val="32"/>
        </w:rPr>
        <w:t>下属企业法人存在具有必要性。</w:t>
      </w:r>
      <w:r>
        <w:rPr>
          <w:rFonts w:ascii="仿宋" w:hAnsi="仿宋" w:eastAsia="仿宋"/>
          <w:b w:val="0"/>
          <w:color w:val="000000"/>
          <w:sz w:val="32"/>
        </w:rPr>
        <w:t>下属企业在智慧机场领域具备技术竞争力和不可替代的战略功能，补足了股份公司自身不具备的产品化、市场化能力，是枢纽场景优势变现、风险隔离以及资质和知识产权承继的必要载体；但市场化经营能力和投资回报水平明显不足，法人存续的必要性需以限期实现经营性盈亏平衡为前提。</w:t>
      </w:r>
    </w:p>
    <w:p w14:paraId="797B4AA2">
      <w:pPr>
        <w:numPr>
          <w:ilvl w:val="0"/>
          <w:numId w:val="7"/>
        </w:numPr>
        <w:spacing w:before="0" w:after="0" w:line="540" w:lineRule="exact"/>
        <w:ind w:firstLine="640"/>
        <w:jc w:val="both"/>
      </w:pPr>
      <w:r>
        <w:rPr>
          <w:color w:val="000000"/>
          <w:sz w:val="24"/>
        </w:rPr>
        <w:t>吸收合并推进节点（建议）：2027年一季度完成方案论证与国资审批预沟通；</w:t>
      </w:r>
    </w:p>
    <w:p w14:paraId="797B4AA2">
      <w:pPr>
        <w:numPr>
          <w:ilvl w:val="0"/>
          <w:numId w:val="7"/>
        </w:numPr>
        <w:spacing w:before="0" w:after="0" w:line="540" w:lineRule="exact"/>
        <w:ind w:firstLine="640"/>
        <w:jc w:val="both"/>
      </w:pPr>
      <w:r>
        <w:rPr>
          <w:color w:val="000000"/>
          <w:sz w:val="24"/>
        </w:rPr>
        <w:t>2027年二季度完成审计、评估与债权人公告；2027年三季度完成工商变更，创联公司注销或转为经营主体；</w:t>
      </w:r>
    </w:p>
    <w:p w14:paraId="797B4AA2">
      <w:pPr>
        <w:numPr>
          <w:ilvl w:val="0"/>
          <w:numId w:val="7"/>
        </w:numPr>
        <w:spacing w:before="0" w:after="0" w:line="540" w:lineRule="exact"/>
        <w:ind w:firstLine="640"/>
        <w:jc w:val="both"/>
      </w:pPr>
      <w:r>
        <w:rPr>
          <w:color w:val="000000"/>
          <w:sz w:val="24"/>
        </w:rPr>
        <w:t>责任主体：股份公司董事会办公室牵头，科技公司配合，创联公司经办。</w:t>
      </w:r>
    </w:p>
    <w:p w14:paraId="3BEA5639">
      <w:pPr>
        <w:numPr>
          <w:ilvl w:val="0"/>
          <w:numId w:val="7"/>
        </w:numPr>
        <w:spacing w:before="0" w:after="0" w:line="540" w:lineRule="exact"/>
        <w:ind w:left="0" w:leftChars="0" w:firstLine="640" w:firstLineChars="0"/>
        <w:jc w:val="both"/>
      </w:pPr>
      <w:r>
        <w:rPr>
          <w:rFonts w:ascii="仿宋" w:hAnsi="仿宋" w:eastAsia="仿宋"/>
          <w:b/>
          <w:bCs/>
          <w:color w:val="000000"/>
          <w:sz w:val="32"/>
        </w:rPr>
        <w:t>股权架构总体合理但需优化。</w:t>
      </w:r>
      <w:r>
        <w:rPr>
          <w:rFonts w:ascii="仿宋" w:hAnsi="仿宋" w:eastAsia="仿宋"/>
          <w:b w:val="0"/>
          <w:color w:val="000000"/>
          <w:sz w:val="32"/>
        </w:rPr>
        <w:t>“集团内多元股东共同出资＋专业子公司独立经营”的架构符合公司主业战略和业务实际，具有合理性；但“持股平台＋经营主体”两层架构已不适应市场化要求，应尽快推进创联公司与司拓公司吸收合并，同步厘清关联业务边界、规范关联交易，并关注内蒙古机场集团拟撤资对治理结构的影响。</w:t>
      </w:r>
    </w:p>
    <w:p w14:paraId="13760EB2">
      <w:pPr>
        <w:rPr>
          <w:rFonts w:hint="eastAsia"/>
          <w:lang w:val="en-US" w:eastAsia="zh-CN"/>
        </w:rPr>
      </w:pPr>
    </w:p>
    <w:p w14:paraId="0AC946BA">
      <w:pPr>
        <w:rPr>
          <w:rFonts w:hint="eastAsia"/>
          <w:lang w:val="en-US" w:eastAsia="zh-CN"/>
        </w:rPr>
      </w:pPr>
      <w:r>
        <w:rPr>
          <w:rFonts w:hint="eastAsia"/>
          <w:color w:val="000000"/>
          <w:lang w:val="en-US" w:eastAsia="zh-CN"/>
        </w:rPr>
        <w:t>附录：编制依据</w:t>
      </w:r>
    </w:p>
    <w:p w14:paraId="3244CF5D">
      <w:pPr>
        <w:numPr>
          <w:ilvl w:val="0"/>
          <w:numId w:val="0"/>
        </w:numPr>
        <w:ind w:firstLine="640" w:firstLineChars="200"/>
        <w:jc w:val="both"/>
        <w:rPr>
          <w:rFonts w:hint="eastAsia"/>
          <w:b w:val="0"/>
          <w:sz w:val="32"/>
          <w:lang w:val="en-US" w:eastAsia="zh-CN"/>
        </w:rPr>
      </w:pPr>
      <w:r>
        <w:rPr>
          <w:rFonts w:hint="eastAsia"/>
          <w:b w:val="0"/>
          <w:color w:val="000000"/>
          <w:sz w:val="32"/>
          <w:lang w:val="en-US" w:eastAsia="zh-CN"/>
        </w:rPr>
        <w:t>1.《北京创联民航技术有限公司审计报告》（众环审字</w:t>
      </w:r>
      <w:r>
        <w:rPr>
          <w:rFonts w:ascii="仿宋" w:hAnsi="仿宋" w:eastAsia="仿宋"/>
          <w:b w:val="0"/>
          <w:color w:val="000000"/>
          <w:sz w:val="32"/>
        </w:rPr>
        <w:t>〔202</w:t>
      </w:r>
      <w:r>
        <w:rPr>
          <w:rFonts w:hint="eastAsia"/>
          <w:b w:val="0"/>
          <w:color w:val="000000"/>
          <w:sz w:val="32"/>
          <w:lang w:val="en-US" w:eastAsia="zh-CN"/>
        </w:rPr>
        <w:t>5</w:t>
      </w:r>
      <w:r>
        <w:rPr>
          <w:rFonts w:ascii="仿宋" w:hAnsi="仿宋" w:eastAsia="仿宋"/>
          <w:b w:val="0"/>
          <w:color w:val="000000"/>
          <w:sz w:val="32"/>
        </w:rPr>
        <w:t>〕</w:t>
      </w:r>
      <w:r>
        <w:rPr>
          <w:rFonts w:hint="eastAsia"/>
          <w:b w:val="0"/>
          <w:color w:val="000000"/>
          <w:sz w:val="32"/>
          <w:lang w:val="en-US" w:eastAsia="zh-CN"/>
        </w:rPr>
        <w:t>0202056号）</w:t>
      </w:r>
    </w:p>
    <w:p w14:paraId="1107946C">
      <w:pPr>
        <w:numPr>
          <w:ilvl w:val="0"/>
          <w:numId w:val="0"/>
        </w:numPr>
        <w:ind w:firstLine="640" w:firstLineChars="200"/>
        <w:jc w:val="both"/>
        <w:rPr>
          <w:rFonts w:ascii="仿宋" w:hAnsi="仿宋" w:eastAsia="仿宋"/>
          <w:b w:val="0"/>
          <w:sz w:val="32"/>
        </w:rPr>
      </w:pPr>
      <w:r>
        <w:rPr>
          <w:rFonts w:hint="eastAsia"/>
          <w:b w:val="0"/>
          <w:color w:val="000000"/>
          <w:sz w:val="32"/>
          <w:lang w:val="en-US" w:eastAsia="zh-CN"/>
        </w:rPr>
        <w:t>2.《北京创联民航技术有限公司审计报告》</w:t>
      </w:r>
      <w:r>
        <w:rPr>
          <w:rFonts w:ascii="仿宋" w:hAnsi="仿宋" w:eastAsia="仿宋"/>
          <w:b w:val="0"/>
          <w:color w:val="000000"/>
          <w:sz w:val="32"/>
        </w:rPr>
        <w:t>（众环审字〔2026〕0204381号）</w:t>
      </w:r>
    </w:p>
    <w:p w14:paraId="39333918">
      <w:pPr>
        <w:numPr>
          <w:ilvl w:val="0"/>
          <w:numId w:val="0"/>
        </w:numPr>
        <w:ind w:firstLine="640" w:firstLineChars="200"/>
        <w:jc w:val="both"/>
        <w:rPr>
          <w:rFonts w:hint="eastAsia" w:ascii="仿宋" w:hAnsi="仿宋" w:eastAsia="仿宋"/>
          <w:b w:val="0"/>
          <w:sz w:val="32"/>
          <w:lang w:val="en-US" w:eastAsia="zh-CN"/>
        </w:rPr>
      </w:pPr>
      <w:r>
        <w:rPr>
          <w:rFonts w:hint="eastAsia"/>
          <w:b w:val="0"/>
          <w:color w:val="000000"/>
          <w:sz w:val="32"/>
          <w:lang w:val="en-US" w:eastAsia="zh-CN"/>
        </w:rPr>
        <w:t>3.《</w:t>
      </w:r>
      <w:r>
        <w:rPr>
          <w:rFonts w:ascii="仿宋" w:hAnsi="仿宋" w:eastAsia="仿宋"/>
          <w:b w:val="0"/>
          <w:color w:val="000000"/>
          <w:sz w:val="32"/>
          <w:lang w:val="en-US" w:eastAsia="en-US"/>
        </w:rPr>
        <w:t>北京创联民航技术有限公司股权收购形成的商誉进行减值测试涉及的北京司拓民航科技有限责任公司资产组可收回金额资产评估报告</w:t>
      </w:r>
      <w:r>
        <w:rPr>
          <w:rFonts w:hint="eastAsia"/>
          <w:b w:val="0"/>
          <w:color w:val="000000"/>
          <w:sz w:val="32"/>
          <w:lang w:val="en-US" w:eastAsia="zh-CN"/>
        </w:rPr>
        <w:t>》（</w:t>
      </w:r>
      <w:r>
        <w:rPr>
          <w:rFonts w:ascii="仿宋" w:hAnsi="仿宋" w:eastAsia="仿宋"/>
          <w:b w:val="0"/>
          <w:color w:val="000000"/>
          <w:sz w:val="32"/>
          <w:lang w:val="en-US" w:eastAsia="en-US"/>
        </w:rPr>
        <w:t>中兴立评报字</w:t>
      </w:r>
      <w:r>
        <w:rPr>
          <w:rFonts w:ascii="仿宋" w:hAnsi="仿宋" w:eastAsia="仿宋"/>
          <w:b w:val="0"/>
          <w:color w:val="000000"/>
          <w:sz w:val="32"/>
        </w:rPr>
        <w:t>〔202</w:t>
      </w:r>
      <w:r>
        <w:rPr>
          <w:rFonts w:hint="eastAsia"/>
          <w:b w:val="0"/>
          <w:color w:val="000000"/>
          <w:sz w:val="32"/>
          <w:lang w:val="en-US" w:eastAsia="zh-CN"/>
        </w:rPr>
        <w:t>5</w:t>
      </w:r>
      <w:r>
        <w:rPr>
          <w:rFonts w:ascii="仿宋" w:hAnsi="仿宋" w:eastAsia="仿宋"/>
          <w:b w:val="0"/>
          <w:color w:val="000000"/>
          <w:sz w:val="32"/>
        </w:rPr>
        <w:t>〕</w:t>
      </w:r>
      <w:r>
        <w:rPr>
          <w:rFonts w:ascii="仿宋" w:hAnsi="仿宋" w:eastAsia="仿宋"/>
          <w:b w:val="0"/>
          <w:color w:val="000000"/>
          <w:sz w:val="32"/>
          <w:lang w:val="en-US" w:eastAsia="en-US"/>
        </w:rPr>
        <w:t>第100</w:t>
      </w:r>
      <w:r>
        <w:rPr>
          <w:rFonts w:hint="eastAsia"/>
          <w:b w:val="0"/>
          <w:color w:val="000000"/>
          <w:sz w:val="32"/>
          <w:lang w:val="en-US" w:eastAsia="zh-CN"/>
        </w:rPr>
        <w:t>4</w:t>
      </w:r>
      <w:r>
        <w:rPr>
          <w:rFonts w:ascii="仿宋" w:hAnsi="仿宋" w:eastAsia="仿宋"/>
          <w:b w:val="0"/>
          <w:color w:val="000000"/>
          <w:sz w:val="32"/>
          <w:lang w:val="en-US" w:eastAsia="en-US"/>
        </w:rPr>
        <w:t>号</w:t>
      </w:r>
      <w:r>
        <w:rPr>
          <w:rFonts w:hint="eastAsia"/>
          <w:b w:val="0"/>
          <w:color w:val="000000"/>
          <w:sz w:val="32"/>
          <w:lang w:val="en-US" w:eastAsia="zh-CN"/>
        </w:rPr>
        <w:t>）</w:t>
      </w:r>
    </w:p>
    <w:p w14:paraId="2F30ED79">
      <w:pPr>
        <w:numPr>
          <w:ilvl w:val="0"/>
          <w:numId w:val="0"/>
        </w:numPr>
        <w:ind w:firstLine="640" w:firstLineChars="200"/>
        <w:jc w:val="both"/>
        <w:rPr>
          <w:rFonts w:ascii="仿宋" w:hAnsi="仿宋" w:eastAsia="仿宋"/>
          <w:b w:val="0"/>
          <w:sz w:val="32"/>
        </w:rPr>
      </w:pPr>
      <w:r>
        <w:rPr>
          <w:rFonts w:hint="eastAsia"/>
          <w:b w:val="0"/>
          <w:color w:val="000000"/>
          <w:sz w:val="32"/>
          <w:lang w:val="en-US" w:eastAsia="zh-CN"/>
        </w:rPr>
        <w:t>4.</w:t>
      </w:r>
      <w:r>
        <w:rPr>
          <w:rFonts w:ascii="仿宋" w:hAnsi="仿宋" w:eastAsia="仿宋"/>
          <w:b w:val="0"/>
          <w:color w:val="000000"/>
          <w:sz w:val="32"/>
        </w:rPr>
        <w:t>《北京创联民航技术有限公司股权投资后评价报告》（2026年</w:t>
      </w:r>
      <w:r>
        <w:rPr>
          <w:rFonts w:hint="eastAsia"/>
          <w:b w:val="0"/>
          <w:color w:val="000000"/>
          <w:sz w:val="32"/>
          <w:lang w:val="en-US" w:eastAsia="zh-CN"/>
        </w:rPr>
        <w:t>6</w:t>
      </w:r>
      <w:r>
        <w:rPr>
          <w:rFonts w:ascii="仿宋" w:hAnsi="仿宋" w:eastAsia="仿宋"/>
          <w:b w:val="0"/>
          <w:color w:val="000000"/>
          <w:sz w:val="32"/>
        </w:rPr>
        <w:t>月</w:t>
      </w:r>
      <w:r>
        <w:rPr>
          <w:rFonts w:hint="eastAsia"/>
          <w:b w:val="0"/>
          <w:color w:val="000000"/>
          <w:sz w:val="32"/>
          <w:lang w:val="en-US" w:eastAsia="zh-CN"/>
        </w:rPr>
        <w:t>版</w:t>
      </w:r>
      <w:r>
        <w:rPr>
          <w:rFonts w:ascii="仿宋" w:hAnsi="仿宋" w:eastAsia="仿宋"/>
          <w:b w:val="0"/>
          <w:color w:val="000000"/>
          <w:sz w:val="32"/>
        </w:rPr>
        <w:t>）</w:t>
      </w:r>
    </w:p>
    <w:p w14:paraId="6504C074">
      <w:pPr>
        <w:numPr>
          <w:ilvl w:val="0"/>
          <w:numId w:val="0"/>
        </w:numPr>
        <w:ind w:firstLine="640" w:firstLineChars="200"/>
        <w:jc w:val="both"/>
        <w:rPr>
          <w:rFonts w:hint="default" w:ascii="仿宋" w:hAnsi="仿宋" w:eastAsia="仿宋"/>
          <w:b w:val="0"/>
          <w:sz w:val="32"/>
          <w:lang w:val="en-US" w:eastAsia="zh-CN"/>
        </w:rPr>
      </w:pPr>
    </w:p>
    <w:p w14:paraId="696DB7A1">
      <w:pPr>
        <w:numPr>
          <w:ilvl w:val="0"/>
          <w:numId w:val="0"/>
        </w:numPr>
        <w:jc w:val="both"/>
        <w:rPr>
          <w:rFonts w:hint="default" w:ascii="仿宋" w:hAnsi="仿宋" w:eastAsia="仿宋"/>
          <w:b w:val="0"/>
          <w:sz w:val="32"/>
          <w:lang w:val="en-US" w:eastAsia="zh-CN"/>
        </w:rPr>
        <w:sectPr>
          <w:footerReference r:id="rId5" w:type="default"/>
          <w:pgSz w:w="11906" w:h="16838"/>
          <w:pgMar w:top="1440" w:right="1474" w:bottom="1440" w:left="1587" w:header="720" w:footer="720" w:gutter="0"/>
          <w:cols w:space="720" w:num="1"/>
          <w:docGrid w:linePitch="360" w:charSpace="0"/>
        </w:sectPr>
      </w:pPr>
      <w:bookmarkStart w:id="0" w:name="_GoBack"/>
      <w:bookmarkEnd w:id="0"/>
    </w:p>
    <w:p w14:paraId="3A169C4D">
      <w:pPr>
        <w:spacing w:before="0" w:after="40" w:line="400" w:lineRule="exact"/>
        <w:jc w:val="left"/>
      </w:pPr>
      <w:r>
        <w:rPr>
          <w:rFonts w:ascii="黑体" w:hAnsi="黑体" w:eastAsia="黑体"/>
          <w:b w:val="0"/>
          <w:color w:val="000000"/>
          <w:sz w:val="24"/>
        </w:rPr>
        <w:t>附表三</w:t>
      </w:r>
    </w:p>
    <w:tbl>
      <w:tblPr>
        <w:tblStyle w:val="33"/>
        <w:tblW w:w="14251" w:type="dxa"/>
        <w:tblInd w:w="95" w:type="dxa"/>
        <w:tblLayout w:type="fixed"/>
        <w:tblCellMar>
          <w:top w:w="0" w:type="dxa"/>
          <w:left w:w="108" w:type="dxa"/>
          <w:bottom w:w="0" w:type="dxa"/>
          <w:right w:w="108" w:type="dxa"/>
        </w:tblCellMar>
      </w:tblPr>
      <w:tblGrid>
        <w:gridCol w:w="720"/>
        <w:gridCol w:w="780"/>
        <w:gridCol w:w="560"/>
        <w:gridCol w:w="1301"/>
        <w:gridCol w:w="1080"/>
        <w:gridCol w:w="1650"/>
        <w:gridCol w:w="1305"/>
        <w:gridCol w:w="1275"/>
        <w:gridCol w:w="1305"/>
        <w:gridCol w:w="2100"/>
        <w:gridCol w:w="2175"/>
      </w:tblGrid>
      <w:tr w14:paraId="2903DDD5">
        <w:tblPrEx>
          <w:tblCellMar>
            <w:top w:w="0" w:type="dxa"/>
            <w:left w:w="108" w:type="dxa"/>
            <w:bottom w:w="0" w:type="dxa"/>
            <w:right w:w="108" w:type="dxa"/>
          </w:tblCellMar>
        </w:tblPrEx>
        <w:trPr>
          <w:trHeight w:val="458" w:hRule="atLeast"/>
        </w:trPr>
        <w:tc>
          <w:tcPr>
            <w:tcW w:w="14251" w:type="dxa"/>
            <w:gridSpan w:val="11"/>
            <w:tcBorders>
              <w:top w:val="nil"/>
              <w:left w:val="nil"/>
              <w:bottom w:val="single" w:color="auto" w:sz="4" w:space="0"/>
              <w:right w:val="nil"/>
            </w:tcBorders>
            <w:noWrap/>
            <w:vAlign w:val="center"/>
          </w:tcPr>
          <w:p w14:paraId="01828980">
            <w:pPr>
              <w:widowControl/>
              <w:jc w:val="center"/>
              <w:rPr>
                <w:rFonts w:ascii="宋体" w:hAnsi="宋体" w:cs="宋体"/>
                <w:kern w:val="0"/>
                <w:sz w:val="36"/>
                <w:szCs w:val="36"/>
              </w:rPr>
            </w:pPr>
            <w:r>
              <w:rPr>
                <w:rFonts w:hint="eastAsia" w:ascii="宋体" w:hAnsi="宋体" w:cs="宋体"/>
                <w:color w:val="000000"/>
                <w:kern w:val="0"/>
                <w:sz w:val="36"/>
                <w:szCs w:val="36"/>
                <w:lang w:val="en-US" w:eastAsia="zh-CN"/>
              </w:rPr>
              <w:t>首都机场股份</w:t>
            </w:r>
            <w:r>
              <w:rPr>
                <w:rFonts w:hint="eastAsia" w:ascii="宋体" w:hAnsi="宋体" w:cs="宋体"/>
                <w:color w:val="000000"/>
                <w:kern w:val="0"/>
                <w:sz w:val="36"/>
                <w:szCs w:val="36"/>
              </w:rPr>
              <w:t>公司对外投资股权基本情况表</w:t>
            </w:r>
          </w:p>
        </w:tc>
      </w:tr>
      <w:tr w14:paraId="34FAE565">
        <w:tblPrEx>
          <w:tblCellMar>
            <w:top w:w="0" w:type="dxa"/>
            <w:left w:w="108" w:type="dxa"/>
            <w:bottom w:w="0" w:type="dxa"/>
            <w:right w:w="108" w:type="dxa"/>
          </w:tblCellMar>
        </w:tblPrEx>
        <w:trPr>
          <w:trHeight w:val="1870" w:hRule="atLeast"/>
        </w:trPr>
        <w:tc>
          <w:tcPr>
            <w:tcW w:w="720" w:type="dxa"/>
            <w:tcBorders>
              <w:top w:val="nil"/>
              <w:left w:val="single" w:color="auto" w:sz="4" w:space="0"/>
              <w:bottom w:val="single" w:color="auto" w:sz="4" w:space="0"/>
              <w:right w:val="single" w:color="auto" w:sz="4" w:space="0"/>
            </w:tcBorders>
            <w:shd w:val="clear" w:color="auto" w:fill="CCFFFF"/>
            <w:noWrap w:val="0"/>
            <w:vAlign w:val="center"/>
          </w:tcPr>
          <w:p w14:paraId="64A45554">
            <w:pPr>
              <w:widowControl/>
              <w:jc w:val="center"/>
              <w:rPr>
                <w:rFonts w:ascii="宋体" w:hAnsi="宋体" w:cs="宋体"/>
                <w:kern w:val="0"/>
                <w:sz w:val="20"/>
                <w:szCs w:val="20"/>
              </w:rPr>
            </w:pPr>
            <w:r>
              <w:rPr>
                <w:rFonts w:hint="eastAsia" w:ascii="宋体" w:hAnsi="宋体" w:cs="宋体"/>
                <w:color w:val="000000"/>
                <w:kern w:val="0"/>
                <w:sz w:val="20"/>
                <w:szCs w:val="20"/>
              </w:rPr>
              <w:t>序号</w:t>
            </w:r>
          </w:p>
        </w:tc>
        <w:tc>
          <w:tcPr>
            <w:tcW w:w="780" w:type="dxa"/>
            <w:tcBorders>
              <w:top w:val="nil"/>
              <w:left w:val="single" w:color="auto" w:sz="4" w:space="0"/>
              <w:bottom w:val="single" w:color="auto" w:sz="4" w:space="0"/>
              <w:right w:val="single" w:color="auto" w:sz="4" w:space="0"/>
            </w:tcBorders>
            <w:shd w:val="clear" w:color="auto" w:fill="CCFFFF"/>
            <w:noWrap w:val="0"/>
            <w:vAlign w:val="center"/>
          </w:tcPr>
          <w:p w14:paraId="17C9DDC0">
            <w:pPr>
              <w:widowControl/>
              <w:jc w:val="center"/>
              <w:rPr>
                <w:rFonts w:ascii="宋体" w:hAnsi="宋体" w:cs="宋体"/>
                <w:kern w:val="0"/>
                <w:sz w:val="20"/>
                <w:szCs w:val="20"/>
              </w:rPr>
            </w:pPr>
            <w:r>
              <w:rPr>
                <w:rFonts w:hint="eastAsia" w:ascii="宋体" w:hAnsi="宋体" w:cs="宋体"/>
                <w:color w:val="000000"/>
                <w:kern w:val="0"/>
                <w:sz w:val="20"/>
                <w:szCs w:val="20"/>
              </w:rPr>
              <w:t>被投资单位名称</w:t>
            </w:r>
          </w:p>
        </w:tc>
        <w:tc>
          <w:tcPr>
            <w:tcW w:w="560" w:type="dxa"/>
            <w:tcBorders>
              <w:top w:val="nil"/>
              <w:left w:val="single" w:color="auto" w:sz="4" w:space="0"/>
              <w:bottom w:val="single" w:color="auto" w:sz="4" w:space="0"/>
              <w:right w:val="single" w:color="auto" w:sz="4" w:space="0"/>
            </w:tcBorders>
            <w:shd w:val="clear" w:color="auto" w:fill="CCFFFF"/>
            <w:noWrap w:val="0"/>
            <w:vAlign w:val="center"/>
          </w:tcPr>
          <w:p w14:paraId="54BAFBF1">
            <w:pPr>
              <w:widowControl/>
              <w:jc w:val="center"/>
              <w:rPr>
                <w:rFonts w:ascii="宋体" w:hAnsi="宋体" w:cs="宋体"/>
                <w:kern w:val="0"/>
                <w:sz w:val="20"/>
                <w:szCs w:val="20"/>
              </w:rPr>
            </w:pPr>
            <w:r>
              <w:rPr>
                <w:rFonts w:hint="eastAsia" w:ascii="宋体" w:hAnsi="宋体" w:cs="宋体"/>
                <w:color w:val="000000"/>
                <w:kern w:val="0"/>
                <w:sz w:val="20"/>
                <w:szCs w:val="20"/>
              </w:rPr>
              <w:t>持股比例</w:t>
            </w:r>
          </w:p>
        </w:tc>
        <w:tc>
          <w:tcPr>
            <w:tcW w:w="1301" w:type="dxa"/>
            <w:tcBorders>
              <w:top w:val="nil"/>
              <w:left w:val="single" w:color="auto" w:sz="4" w:space="0"/>
              <w:bottom w:val="single" w:color="auto" w:sz="4" w:space="0"/>
              <w:right w:val="single" w:color="auto" w:sz="4" w:space="0"/>
            </w:tcBorders>
            <w:shd w:val="clear" w:color="auto" w:fill="CCFFFF"/>
            <w:noWrap w:val="0"/>
            <w:vAlign w:val="center"/>
          </w:tcPr>
          <w:p w14:paraId="30FF100D">
            <w:pPr>
              <w:widowControl/>
              <w:jc w:val="center"/>
              <w:rPr>
                <w:rFonts w:ascii="宋体" w:hAnsi="宋体" w:cs="宋体"/>
                <w:kern w:val="0"/>
                <w:sz w:val="20"/>
                <w:szCs w:val="20"/>
              </w:rPr>
            </w:pPr>
            <w:r>
              <w:rPr>
                <w:rFonts w:hint="eastAsia" w:ascii="宋体" w:hAnsi="宋体" w:cs="宋体"/>
                <w:color w:val="000000"/>
                <w:kern w:val="0"/>
                <w:sz w:val="20"/>
                <w:szCs w:val="20"/>
              </w:rPr>
              <w:t>投资日期</w:t>
            </w:r>
          </w:p>
        </w:tc>
        <w:tc>
          <w:tcPr>
            <w:tcW w:w="1080" w:type="dxa"/>
            <w:tcBorders>
              <w:top w:val="nil"/>
              <w:left w:val="single" w:color="auto" w:sz="4" w:space="0"/>
              <w:bottom w:val="single" w:color="auto" w:sz="4" w:space="0"/>
              <w:right w:val="single" w:color="auto" w:sz="4" w:space="0"/>
            </w:tcBorders>
            <w:shd w:val="clear" w:color="auto" w:fill="CCFFFF"/>
            <w:noWrap w:val="0"/>
            <w:vAlign w:val="center"/>
          </w:tcPr>
          <w:p w14:paraId="25CE2B1C">
            <w:pPr>
              <w:widowControl/>
              <w:jc w:val="center"/>
              <w:rPr>
                <w:rFonts w:ascii="宋体" w:hAnsi="宋体" w:cs="宋体"/>
                <w:kern w:val="0"/>
                <w:sz w:val="20"/>
                <w:szCs w:val="20"/>
              </w:rPr>
            </w:pPr>
            <w:r>
              <w:rPr>
                <w:rFonts w:hint="eastAsia" w:ascii="宋体" w:hAnsi="宋体" w:cs="宋体"/>
                <w:color w:val="000000"/>
                <w:kern w:val="0"/>
                <w:sz w:val="20"/>
                <w:szCs w:val="20"/>
              </w:rPr>
              <w:t>投资成本</w:t>
            </w:r>
          </w:p>
        </w:tc>
        <w:tc>
          <w:tcPr>
            <w:tcW w:w="1650" w:type="dxa"/>
            <w:tcBorders>
              <w:top w:val="single" w:color="auto" w:sz="4" w:space="0"/>
              <w:left w:val="nil"/>
              <w:bottom w:val="single" w:color="auto" w:sz="4" w:space="0"/>
              <w:right w:val="single" w:color="auto" w:sz="4" w:space="0"/>
            </w:tcBorders>
            <w:shd w:val="clear" w:color="auto" w:fill="CCFFFF"/>
            <w:noWrap/>
            <w:vAlign w:val="center"/>
          </w:tcPr>
          <w:p w14:paraId="2E8412AD">
            <w:pPr>
              <w:jc w:val="center"/>
              <w:rPr>
                <w:rFonts w:ascii="宋体" w:hAnsi="宋体" w:cs="宋体"/>
                <w:kern w:val="0"/>
                <w:sz w:val="18"/>
                <w:szCs w:val="18"/>
              </w:rPr>
            </w:pPr>
            <w:r>
              <w:rPr>
                <w:rFonts w:hint="eastAsia" w:ascii="宋体" w:hAnsi="宋体" w:cs="宋体"/>
                <w:color w:val="000000"/>
                <w:kern w:val="0"/>
                <w:sz w:val="18"/>
                <w:szCs w:val="18"/>
              </w:rPr>
              <w:t>投资至今累计分红情况</w:t>
            </w:r>
          </w:p>
        </w:tc>
        <w:tc>
          <w:tcPr>
            <w:tcW w:w="1305" w:type="dxa"/>
            <w:tcBorders>
              <w:top w:val="single" w:color="auto" w:sz="4" w:space="0"/>
              <w:left w:val="nil"/>
              <w:bottom w:val="single" w:color="auto" w:sz="4" w:space="0"/>
              <w:right w:val="single" w:color="auto" w:sz="4" w:space="0"/>
            </w:tcBorders>
            <w:shd w:val="clear" w:color="auto" w:fill="CCFFFF"/>
            <w:noWrap w:val="0"/>
            <w:vAlign w:val="center"/>
          </w:tcPr>
          <w:p w14:paraId="54EFB677">
            <w:pPr>
              <w:jc w:val="center"/>
              <w:rPr>
                <w:rFonts w:ascii="宋体" w:hAnsi="宋体" w:cs="宋体"/>
                <w:kern w:val="0"/>
                <w:sz w:val="24"/>
              </w:rPr>
            </w:pPr>
            <w:r>
              <w:rPr>
                <w:rFonts w:hint="eastAsia" w:ascii="宋体" w:hAnsi="宋体" w:cs="宋体"/>
                <w:color w:val="000000"/>
                <w:kern w:val="0"/>
                <w:sz w:val="20"/>
                <w:szCs w:val="20"/>
              </w:rPr>
              <w:t>202</w:t>
            </w:r>
            <w:r>
              <w:rPr>
                <w:rFonts w:ascii="宋体" w:hAnsi="宋体" w:cs="宋体"/>
                <w:color w:val="000000"/>
                <w:kern w:val="0"/>
                <w:sz w:val="20"/>
                <w:szCs w:val="20"/>
              </w:rPr>
              <w:t>6</w:t>
            </w:r>
            <w:r>
              <w:rPr>
                <w:rFonts w:hint="eastAsia" w:ascii="宋体" w:hAnsi="宋体" w:cs="宋体"/>
                <w:color w:val="000000"/>
                <w:kern w:val="0"/>
                <w:sz w:val="20"/>
                <w:szCs w:val="20"/>
              </w:rPr>
              <w:t>年度净利润预计</w:t>
            </w:r>
          </w:p>
        </w:tc>
        <w:tc>
          <w:tcPr>
            <w:tcW w:w="1275" w:type="dxa"/>
            <w:tcBorders>
              <w:top w:val="single" w:color="auto" w:sz="4" w:space="0"/>
              <w:left w:val="nil"/>
              <w:bottom w:val="single" w:color="auto" w:sz="4" w:space="0"/>
              <w:right w:val="single" w:color="auto" w:sz="4" w:space="0"/>
            </w:tcBorders>
            <w:shd w:val="clear" w:color="auto" w:fill="CCFFFF"/>
            <w:noWrap w:val="0"/>
            <w:vAlign w:val="center"/>
          </w:tcPr>
          <w:p w14:paraId="3BF805DF">
            <w:pPr>
              <w:jc w:val="center"/>
              <w:rPr>
                <w:rFonts w:ascii="宋体" w:hAnsi="宋体" w:cs="宋体"/>
                <w:kern w:val="0"/>
                <w:sz w:val="24"/>
              </w:rPr>
            </w:pPr>
            <w:r>
              <w:rPr>
                <w:rFonts w:hint="eastAsia" w:ascii="宋体" w:hAnsi="宋体" w:cs="宋体"/>
                <w:color w:val="000000"/>
                <w:kern w:val="0"/>
                <w:sz w:val="20"/>
                <w:szCs w:val="20"/>
              </w:rPr>
              <w:t>202</w:t>
            </w:r>
            <w:r>
              <w:rPr>
                <w:rFonts w:ascii="宋体" w:hAnsi="宋体" w:cs="宋体"/>
                <w:color w:val="000000"/>
                <w:kern w:val="0"/>
                <w:sz w:val="20"/>
                <w:szCs w:val="20"/>
              </w:rPr>
              <w:t>6</w:t>
            </w:r>
            <w:r>
              <w:rPr>
                <w:rFonts w:hint="eastAsia" w:ascii="宋体" w:hAnsi="宋体" w:cs="宋体"/>
                <w:color w:val="000000"/>
                <w:kern w:val="0"/>
                <w:sz w:val="20"/>
                <w:szCs w:val="20"/>
              </w:rPr>
              <w:t>年末所有者权益预计</w:t>
            </w:r>
          </w:p>
        </w:tc>
        <w:tc>
          <w:tcPr>
            <w:tcW w:w="1305" w:type="dxa"/>
            <w:tcBorders>
              <w:top w:val="nil"/>
              <w:left w:val="single" w:color="auto" w:sz="4" w:space="0"/>
              <w:bottom w:val="single" w:color="auto" w:sz="4" w:space="0"/>
              <w:right w:val="single" w:color="auto" w:sz="4" w:space="0"/>
            </w:tcBorders>
            <w:shd w:val="clear" w:color="auto" w:fill="CCFFFF"/>
            <w:noWrap w:val="0"/>
            <w:vAlign w:val="center"/>
          </w:tcPr>
          <w:p w14:paraId="0B885668">
            <w:pPr>
              <w:widowControl/>
              <w:jc w:val="center"/>
              <w:rPr>
                <w:rFonts w:ascii="宋体" w:hAnsi="宋体" w:cs="宋体"/>
                <w:kern w:val="0"/>
                <w:sz w:val="20"/>
                <w:szCs w:val="20"/>
              </w:rPr>
            </w:pPr>
            <w:r>
              <w:rPr>
                <w:rFonts w:hint="eastAsia" w:ascii="宋体" w:hAnsi="宋体" w:cs="宋体"/>
                <w:color w:val="000000"/>
                <w:kern w:val="0"/>
                <w:sz w:val="20"/>
                <w:szCs w:val="20"/>
              </w:rPr>
              <w:t>投资至今累计增值情况</w:t>
            </w:r>
          </w:p>
        </w:tc>
        <w:tc>
          <w:tcPr>
            <w:tcW w:w="2100" w:type="dxa"/>
            <w:tcBorders>
              <w:top w:val="nil"/>
              <w:left w:val="single" w:color="auto" w:sz="4" w:space="0"/>
              <w:bottom w:val="single" w:color="auto" w:sz="4" w:space="0"/>
              <w:right w:val="single" w:color="auto" w:sz="4" w:space="0"/>
            </w:tcBorders>
            <w:shd w:val="clear" w:color="auto" w:fill="CCFFFF"/>
            <w:noWrap w:val="0"/>
            <w:vAlign w:val="center"/>
          </w:tcPr>
          <w:p w14:paraId="55D03F73">
            <w:pPr>
              <w:widowControl/>
              <w:jc w:val="center"/>
              <w:rPr>
                <w:rFonts w:hint="eastAsia" w:ascii="宋体" w:hAnsi="宋体" w:cs="宋体"/>
                <w:kern w:val="0"/>
                <w:sz w:val="20"/>
                <w:szCs w:val="20"/>
              </w:rPr>
            </w:pPr>
            <w:r>
              <w:rPr>
                <w:rFonts w:hint="eastAsia" w:ascii="宋体" w:hAnsi="宋体" w:cs="宋体"/>
                <w:color w:val="000000"/>
                <w:kern w:val="0"/>
                <w:sz w:val="20"/>
                <w:szCs w:val="20"/>
              </w:rPr>
              <w:t>合作方及持股比例</w:t>
            </w:r>
          </w:p>
        </w:tc>
        <w:tc>
          <w:tcPr>
            <w:tcW w:w="2175" w:type="dxa"/>
            <w:tcBorders>
              <w:top w:val="nil"/>
              <w:left w:val="single" w:color="auto" w:sz="4" w:space="0"/>
              <w:bottom w:val="single" w:color="auto" w:sz="4" w:space="0"/>
              <w:right w:val="single" w:color="auto" w:sz="4" w:space="0"/>
            </w:tcBorders>
            <w:shd w:val="clear" w:color="auto" w:fill="CCFFFF"/>
            <w:noWrap w:val="0"/>
            <w:vAlign w:val="center"/>
          </w:tcPr>
          <w:p w14:paraId="52F2A2C0">
            <w:pPr>
              <w:widowControl/>
              <w:jc w:val="center"/>
              <w:rPr>
                <w:rFonts w:hint="eastAsia" w:ascii="宋体" w:hAnsi="宋体" w:cs="宋体"/>
                <w:kern w:val="0"/>
                <w:sz w:val="20"/>
                <w:szCs w:val="20"/>
              </w:rPr>
            </w:pPr>
            <w:r>
              <w:rPr>
                <w:rFonts w:hint="eastAsia" w:ascii="宋体" w:hAnsi="宋体" w:cs="宋体"/>
                <w:color w:val="000000"/>
                <w:kern w:val="0"/>
                <w:sz w:val="20"/>
                <w:szCs w:val="20"/>
              </w:rPr>
              <w:t>股权是否存在瑕疵（含代持、代管、产权不清晰、吊销未注销等）及说明</w:t>
            </w:r>
          </w:p>
        </w:tc>
      </w:tr>
      <w:tr w14:paraId="007A65CC">
        <w:tblPrEx>
          <w:tblCellMar>
            <w:top w:w="0" w:type="dxa"/>
            <w:left w:w="108" w:type="dxa"/>
            <w:bottom w:w="0" w:type="dxa"/>
            <w:right w:w="108" w:type="dxa"/>
          </w:tblCellMar>
        </w:tblPrEx>
        <w:trPr>
          <w:trHeight w:val="323" w:hRule="atLeast"/>
        </w:trPr>
        <w:tc>
          <w:tcPr>
            <w:tcW w:w="720" w:type="dxa"/>
            <w:tcBorders>
              <w:top w:val="nil"/>
              <w:left w:val="single" w:color="auto" w:sz="4" w:space="0"/>
              <w:bottom w:val="single" w:color="auto" w:sz="4" w:space="0"/>
              <w:right w:val="single" w:color="auto" w:sz="4" w:space="0"/>
            </w:tcBorders>
            <w:noWrap/>
            <w:vAlign w:val="center"/>
          </w:tcPr>
          <w:p w14:paraId="064E3FEF">
            <w:pPr>
              <w:spacing w:before="20" w:after="20" w:line="240" w:lineRule="auto"/>
              <w:ind w:firstLine="0" w:firstLineChars="0"/>
              <w:jc w:val="center"/>
              <w:rPr>
                <w:rFonts w:hint="eastAsia" w:ascii="宋体" w:hAnsi="宋体" w:cs="宋体"/>
                <w:kern w:val="0"/>
                <w:sz w:val="22"/>
                <w:szCs w:val="22"/>
                <w:lang w:val="en-US" w:eastAsia="zh-CN"/>
              </w:rPr>
            </w:pPr>
            <w:r>
              <w:rPr>
                <w:rFonts w:ascii="Times New Roman" w:hAnsi="Times New Roman" w:eastAsia="宋体"/>
                <w:b w:val="0"/>
                <w:color w:val="000000"/>
                <w:sz w:val="22"/>
                <w:szCs w:val="22"/>
              </w:rPr>
              <w:t>1</w:t>
            </w:r>
          </w:p>
        </w:tc>
        <w:tc>
          <w:tcPr>
            <w:tcW w:w="780" w:type="dxa"/>
            <w:tcBorders>
              <w:top w:val="nil"/>
              <w:left w:val="nil"/>
              <w:bottom w:val="single" w:color="auto" w:sz="4" w:space="0"/>
              <w:right w:val="single" w:color="auto" w:sz="4" w:space="0"/>
            </w:tcBorders>
            <w:shd w:val="clear" w:color="auto" w:fill="auto"/>
            <w:noWrap/>
            <w:vAlign w:val="center"/>
          </w:tcPr>
          <w:p w14:paraId="5AF47A0D">
            <w:pPr>
              <w:spacing w:before="20" w:after="20" w:line="240" w:lineRule="auto"/>
              <w:ind w:firstLine="0" w:firstLineChars="0"/>
              <w:jc w:val="center"/>
              <w:rPr>
                <w:rFonts w:hint="eastAsia" w:ascii="宋体" w:hAnsi="宋体" w:cs="宋体"/>
                <w:kern w:val="0"/>
                <w:sz w:val="22"/>
                <w:szCs w:val="22"/>
                <w:lang w:val="en-US" w:eastAsia="en-US"/>
              </w:rPr>
            </w:pPr>
            <w:r>
              <w:rPr>
                <w:rFonts w:ascii="Times New Roman" w:hAnsi="Times New Roman" w:eastAsia="宋体"/>
                <w:b w:val="0"/>
                <w:color w:val="000000"/>
                <w:sz w:val="22"/>
                <w:szCs w:val="22"/>
              </w:rPr>
              <w:t>北京创联民航技术有限公司</w:t>
            </w:r>
          </w:p>
        </w:tc>
        <w:tc>
          <w:tcPr>
            <w:tcW w:w="560" w:type="dxa"/>
            <w:tcBorders>
              <w:top w:val="nil"/>
              <w:left w:val="nil"/>
              <w:bottom w:val="single" w:color="auto" w:sz="4" w:space="0"/>
              <w:right w:val="single" w:color="auto" w:sz="4" w:space="0"/>
            </w:tcBorders>
            <w:shd w:val="clear" w:color="auto" w:fill="auto"/>
            <w:noWrap/>
            <w:vAlign w:val="center"/>
          </w:tcPr>
          <w:p w14:paraId="27A64054">
            <w:pPr>
              <w:spacing w:before="20" w:after="20" w:line="240" w:lineRule="auto"/>
              <w:ind w:firstLine="0" w:firstLineChars="0"/>
              <w:jc w:val="center"/>
              <w:rPr>
                <w:rFonts w:hint="eastAsia" w:ascii="宋体" w:hAnsi="宋体" w:cs="宋体"/>
                <w:kern w:val="0"/>
                <w:sz w:val="22"/>
                <w:szCs w:val="22"/>
                <w:lang w:val="en-US" w:eastAsia="en-US"/>
              </w:rPr>
            </w:pPr>
            <w:r>
              <w:rPr>
                <w:rFonts w:ascii="Times New Roman" w:hAnsi="Times New Roman" w:eastAsia="宋体"/>
                <w:b w:val="0"/>
                <w:color w:val="000000"/>
                <w:sz w:val="22"/>
                <w:szCs w:val="22"/>
              </w:rPr>
              <w:t>31%</w:t>
            </w:r>
          </w:p>
        </w:tc>
        <w:tc>
          <w:tcPr>
            <w:tcW w:w="1301" w:type="dxa"/>
            <w:tcBorders>
              <w:top w:val="nil"/>
              <w:left w:val="nil"/>
              <w:bottom w:val="single" w:color="auto" w:sz="4" w:space="0"/>
              <w:right w:val="single" w:color="auto" w:sz="4" w:space="0"/>
            </w:tcBorders>
            <w:shd w:val="clear" w:color="auto" w:fill="auto"/>
            <w:noWrap/>
            <w:vAlign w:val="center"/>
          </w:tcPr>
          <w:p w14:paraId="0C62111E">
            <w:pPr>
              <w:spacing w:before="20" w:after="20" w:line="240" w:lineRule="auto"/>
              <w:ind w:firstLine="0" w:firstLineChars="0"/>
              <w:jc w:val="both"/>
              <w:rPr>
                <w:rFonts w:hint="eastAsia" w:ascii="宋体" w:hAnsi="宋体" w:cs="宋体"/>
                <w:kern w:val="0"/>
                <w:sz w:val="22"/>
                <w:szCs w:val="22"/>
                <w:lang w:val="en-US" w:eastAsia="en-US"/>
              </w:rPr>
            </w:pPr>
            <w:r>
              <w:rPr>
                <w:rFonts w:ascii="Times New Roman" w:hAnsi="Times New Roman" w:eastAsia="宋体"/>
                <w:b w:val="0"/>
                <w:color w:val="000000"/>
                <w:sz w:val="22"/>
                <w:szCs w:val="22"/>
              </w:rPr>
              <w:t>2023年</w:t>
            </w:r>
            <w:r>
              <w:rPr>
                <w:rFonts w:hint="eastAsia" w:ascii="Times New Roman" w:hAnsi="Times New Roman" w:eastAsia="宋体"/>
                <w:b w:val="0"/>
                <w:color w:val="000000"/>
                <w:sz w:val="22"/>
                <w:szCs w:val="22"/>
                <w:lang w:val="en-US" w:eastAsia="zh-CN"/>
              </w:rPr>
              <w:t>7</w:t>
            </w:r>
            <w:r>
              <w:rPr>
                <w:rFonts w:ascii="Times New Roman" w:hAnsi="Times New Roman" w:eastAsia="宋体"/>
                <w:b w:val="0"/>
                <w:color w:val="000000"/>
                <w:sz w:val="22"/>
                <w:szCs w:val="22"/>
              </w:rPr>
              <w:t>月</w:t>
            </w:r>
          </w:p>
        </w:tc>
        <w:tc>
          <w:tcPr>
            <w:tcW w:w="1080" w:type="dxa"/>
            <w:tcBorders>
              <w:top w:val="nil"/>
              <w:left w:val="nil"/>
              <w:bottom w:val="single" w:color="auto" w:sz="4" w:space="0"/>
              <w:right w:val="single" w:color="auto" w:sz="4" w:space="0"/>
            </w:tcBorders>
            <w:noWrap/>
            <w:vAlign w:val="center"/>
          </w:tcPr>
          <w:p w14:paraId="19B38841">
            <w:pPr>
              <w:spacing w:before="20" w:after="20" w:line="240" w:lineRule="auto"/>
              <w:ind w:firstLine="0" w:firstLineChars="0"/>
              <w:jc w:val="center"/>
              <w:rPr>
                <w:rFonts w:hint="default" w:ascii="宋体" w:hAnsi="宋体" w:cs="宋体"/>
                <w:kern w:val="0"/>
                <w:sz w:val="22"/>
                <w:szCs w:val="22"/>
                <w:lang w:val="en-US" w:eastAsia="zh-CN"/>
              </w:rPr>
            </w:pPr>
            <w:r>
              <w:rPr>
                <w:rFonts w:ascii="Times New Roman" w:hAnsi="Times New Roman" w:eastAsia="宋体"/>
                <w:b w:val="0"/>
                <w:color w:val="000000"/>
                <w:sz w:val="22"/>
                <w:szCs w:val="22"/>
              </w:rPr>
              <w:t>4,051.32</w:t>
            </w:r>
          </w:p>
        </w:tc>
        <w:tc>
          <w:tcPr>
            <w:tcW w:w="1650" w:type="dxa"/>
            <w:tcBorders>
              <w:top w:val="nil"/>
              <w:left w:val="nil"/>
              <w:bottom w:val="single" w:color="auto" w:sz="4" w:space="0"/>
              <w:right w:val="single" w:color="auto" w:sz="4" w:space="0"/>
            </w:tcBorders>
            <w:noWrap/>
            <w:vAlign w:val="center"/>
          </w:tcPr>
          <w:p w14:paraId="2C73A361">
            <w:pPr>
              <w:spacing w:before="20" w:after="20" w:line="240" w:lineRule="auto"/>
              <w:ind w:firstLine="0" w:firstLineChars="0"/>
              <w:jc w:val="center"/>
              <w:rPr>
                <w:rFonts w:hint="eastAsia" w:ascii="宋体" w:hAnsi="宋体" w:cs="宋体"/>
                <w:kern w:val="0"/>
                <w:sz w:val="22"/>
                <w:szCs w:val="22"/>
                <w:lang w:val="en-US" w:eastAsia="zh-CN"/>
              </w:rPr>
            </w:pPr>
            <w:r>
              <w:rPr>
                <w:rFonts w:ascii="Times New Roman" w:hAnsi="Times New Roman" w:eastAsia="宋体"/>
                <w:b w:val="0"/>
                <w:color w:val="000000"/>
                <w:sz w:val="22"/>
                <w:szCs w:val="22"/>
              </w:rPr>
              <w:t>55.80</w:t>
            </w:r>
          </w:p>
        </w:tc>
        <w:tc>
          <w:tcPr>
            <w:tcW w:w="1305" w:type="dxa"/>
            <w:tcBorders>
              <w:top w:val="nil"/>
              <w:left w:val="nil"/>
              <w:bottom w:val="single" w:color="auto" w:sz="4" w:space="0"/>
              <w:right w:val="single" w:color="auto" w:sz="4" w:space="0"/>
            </w:tcBorders>
            <w:noWrap/>
            <w:vAlign w:val="center"/>
          </w:tcPr>
          <w:p w14:paraId="1A094FFA">
            <w:pPr>
              <w:spacing w:before="20" w:after="20" w:line="240" w:lineRule="auto"/>
              <w:ind w:firstLine="0" w:firstLineChars="0"/>
              <w:jc w:val="center"/>
              <w:rPr>
                <w:rFonts w:hint="eastAsia" w:ascii="宋体" w:hAnsi="宋体" w:cs="宋体"/>
                <w:kern w:val="0"/>
                <w:sz w:val="22"/>
                <w:szCs w:val="22"/>
                <w:highlight w:val="none"/>
                <w:lang w:val="en-US" w:eastAsia="zh-CN"/>
              </w:rPr>
            </w:pPr>
          </w:p>
        </w:tc>
        <w:tc>
          <w:tcPr>
            <w:tcW w:w="1275" w:type="dxa"/>
            <w:tcBorders>
              <w:top w:val="nil"/>
              <w:left w:val="nil"/>
              <w:bottom w:val="single" w:color="auto" w:sz="4" w:space="0"/>
              <w:right w:val="single" w:color="auto" w:sz="4" w:space="0"/>
            </w:tcBorders>
            <w:noWrap/>
            <w:vAlign w:val="center"/>
          </w:tcPr>
          <w:p w14:paraId="3DFC173A">
            <w:pPr>
              <w:spacing w:before="20" w:after="20" w:line="240" w:lineRule="auto"/>
              <w:ind w:firstLine="0" w:firstLineChars="0"/>
              <w:jc w:val="center"/>
              <w:rPr>
                <w:rFonts w:hint="eastAsia" w:ascii="宋体" w:hAnsi="宋体" w:cs="宋体"/>
                <w:kern w:val="0"/>
                <w:sz w:val="22"/>
                <w:szCs w:val="22"/>
                <w:highlight w:val="none"/>
                <w:lang w:val="en-US" w:eastAsia="zh-CN"/>
              </w:rPr>
            </w:pPr>
          </w:p>
        </w:tc>
        <w:tc>
          <w:tcPr>
            <w:tcW w:w="1305" w:type="dxa"/>
            <w:tcBorders>
              <w:top w:val="nil"/>
              <w:left w:val="nil"/>
              <w:bottom w:val="single" w:color="auto" w:sz="4" w:space="0"/>
              <w:right w:val="single" w:color="auto" w:sz="4" w:space="0"/>
            </w:tcBorders>
            <w:noWrap/>
            <w:vAlign w:val="center"/>
          </w:tcPr>
          <w:p w14:paraId="04BC92AD">
            <w:pPr>
              <w:spacing w:before="20" w:after="20" w:line="240" w:lineRule="auto"/>
              <w:ind w:firstLine="0" w:firstLineChars="0"/>
              <w:jc w:val="center"/>
              <w:rPr>
                <w:rFonts w:hint="eastAsia" w:ascii="宋体" w:hAnsi="宋体" w:cs="宋体"/>
                <w:kern w:val="0"/>
                <w:sz w:val="22"/>
                <w:szCs w:val="22"/>
                <w:highlight w:val="none"/>
                <w:lang w:val="en-US" w:eastAsia="zh-CN"/>
              </w:rPr>
            </w:pPr>
          </w:p>
        </w:tc>
        <w:tc>
          <w:tcPr>
            <w:tcW w:w="2100" w:type="dxa"/>
            <w:tcBorders>
              <w:top w:val="nil"/>
              <w:left w:val="nil"/>
              <w:bottom w:val="single" w:color="auto" w:sz="4" w:space="0"/>
              <w:right w:val="single" w:color="auto" w:sz="4" w:space="0"/>
            </w:tcBorders>
            <w:noWrap/>
            <w:vAlign w:val="center"/>
          </w:tcPr>
          <w:p w14:paraId="773D7DE6">
            <w:pPr>
              <w:spacing w:before="20" w:after="20" w:line="240" w:lineRule="auto"/>
              <w:ind w:firstLine="0" w:firstLineChars="0"/>
              <w:jc w:val="center"/>
              <w:rPr>
                <w:rFonts w:hint="eastAsia" w:ascii="Times New Roman" w:hAnsi="Times New Roman" w:eastAsia="宋体"/>
                <w:b w:val="0"/>
                <w:sz w:val="22"/>
                <w:szCs w:val="22"/>
                <w:lang w:val="en-US" w:eastAsia="zh-CN"/>
              </w:rPr>
            </w:pPr>
            <w:r>
              <w:rPr>
                <w:rFonts w:hint="eastAsia" w:ascii="Times New Roman" w:hAnsi="Times New Roman" w:eastAsia="宋体"/>
                <w:b w:val="0"/>
                <w:color w:val="000000"/>
                <w:sz w:val="22"/>
                <w:szCs w:val="22"/>
                <w:lang w:val="en-US" w:eastAsia="zh-CN"/>
              </w:rPr>
              <w:t>科技公司持股38%</w:t>
            </w:r>
            <w:r>
              <w:rPr>
                <w:rFonts w:hint="eastAsia" w:ascii="Times New Roman" w:hAnsi="Times New Roman" w:eastAsia="宋体"/>
                <w:b w:val="0"/>
                <w:color w:val="000000"/>
                <w:sz w:val="22"/>
                <w:szCs w:val="22"/>
                <w:lang w:val="en-US" w:eastAsia="zh-CN"/>
              </w:rPr>
              <w:br w:type="textWrapping"/>
            </w:r>
            <w:r>
              <w:rPr>
                <w:rFonts w:hint="eastAsia" w:ascii="Times New Roman" w:hAnsi="Times New Roman" w:eastAsia="宋体"/>
                <w:b w:val="0"/>
                <w:color w:val="000000"/>
                <w:sz w:val="22"/>
                <w:szCs w:val="22"/>
                <w:lang w:val="en-US" w:eastAsia="zh-CN"/>
              </w:rPr>
              <w:t>内蒙古机场集团持股31%</w:t>
            </w:r>
          </w:p>
        </w:tc>
        <w:tc>
          <w:tcPr>
            <w:tcW w:w="2175" w:type="dxa"/>
            <w:tcBorders>
              <w:top w:val="nil"/>
              <w:left w:val="nil"/>
              <w:bottom w:val="single" w:color="auto" w:sz="4" w:space="0"/>
              <w:right w:val="single" w:color="auto" w:sz="4" w:space="0"/>
            </w:tcBorders>
            <w:noWrap/>
            <w:vAlign w:val="center"/>
          </w:tcPr>
          <w:p w14:paraId="46571129">
            <w:pPr>
              <w:spacing w:before="20" w:after="20" w:line="240" w:lineRule="auto"/>
              <w:ind w:firstLine="0" w:firstLineChars="0"/>
              <w:jc w:val="center"/>
              <w:rPr>
                <w:rFonts w:hint="default" w:ascii="Times New Roman" w:hAnsi="Times New Roman" w:eastAsia="宋体"/>
                <w:b w:val="0"/>
                <w:sz w:val="22"/>
                <w:szCs w:val="22"/>
                <w:lang w:val="en-US" w:eastAsia="zh-CN"/>
              </w:rPr>
            </w:pPr>
            <w:r>
              <w:rPr>
                <w:rFonts w:hint="eastAsia" w:ascii="Times New Roman" w:hAnsi="Times New Roman" w:eastAsia="宋体"/>
                <w:b w:val="0"/>
                <w:color w:val="000000"/>
                <w:sz w:val="22"/>
                <w:szCs w:val="22"/>
                <w:lang w:val="en-US" w:eastAsia="zh-CN"/>
              </w:rPr>
              <w:t>否</w:t>
            </w:r>
          </w:p>
        </w:tc>
      </w:tr>
      <w:tr w14:paraId="3A189003">
        <w:tblPrEx>
          <w:tblCellMar>
            <w:top w:w="0" w:type="dxa"/>
            <w:left w:w="108" w:type="dxa"/>
            <w:bottom w:w="0" w:type="dxa"/>
            <w:right w:w="108" w:type="dxa"/>
          </w:tblCellMar>
        </w:tblPrEx>
        <w:trPr>
          <w:trHeight w:val="323" w:hRule="atLeast"/>
        </w:trPr>
        <w:tc>
          <w:tcPr>
            <w:tcW w:w="720" w:type="dxa"/>
            <w:tcBorders>
              <w:top w:val="nil"/>
              <w:left w:val="single" w:color="auto" w:sz="4" w:space="0"/>
              <w:bottom w:val="single" w:color="auto" w:sz="4" w:space="0"/>
              <w:right w:val="single" w:color="auto" w:sz="4" w:space="0"/>
            </w:tcBorders>
            <w:noWrap/>
            <w:vAlign w:val="center"/>
          </w:tcPr>
          <w:p w14:paraId="1DE3F5D5">
            <w:pPr>
              <w:widowControl/>
              <w:jc w:val="center"/>
              <w:rPr>
                <w:rFonts w:ascii="宋体" w:hAnsi="宋体" w:cs="宋体"/>
                <w:kern w:val="0"/>
                <w:sz w:val="24"/>
              </w:rPr>
            </w:pPr>
            <w:r>
              <w:rPr>
                <w:rFonts w:hint="eastAsia" w:ascii="宋体" w:hAnsi="宋体" w:cs="宋体"/>
                <w:color w:val="000000"/>
                <w:kern w:val="0"/>
                <w:sz w:val="24"/>
              </w:rPr>
              <w:t>2</w:t>
            </w:r>
          </w:p>
        </w:tc>
        <w:tc>
          <w:tcPr>
            <w:tcW w:w="780" w:type="dxa"/>
            <w:tcBorders>
              <w:top w:val="nil"/>
              <w:left w:val="nil"/>
              <w:bottom w:val="single" w:color="auto" w:sz="4" w:space="0"/>
              <w:right w:val="single" w:color="auto" w:sz="4" w:space="0"/>
            </w:tcBorders>
            <w:noWrap/>
            <w:vAlign w:val="center"/>
          </w:tcPr>
          <w:p w14:paraId="6CE9632A">
            <w:pPr>
              <w:widowControl/>
              <w:jc w:val="left"/>
              <w:rPr>
                <w:rFonts w:ascii="宋体" w:hAnsi="宋体" w:cs="宋体"/>
                <w:kern w:val="0"/>
                <w:sz w:val="24"/>
              </w:rPr>
            </w:pPr>
            <w:r>
              <w:rPr>
                <w:rFonts w:hint="eastAsia" w:ascii="宋体" w:hAnsi="宋体" w:cs="宋体"/>
                <w:color w:val="000000"/>
                <w:kern w:val="0"/>
                <w:sz w:val="24"/>
              </w:rPr>
              <w:t>　</w:t>
            </w:r>
          </w:p>
        </w:tc>
        <w:tc>
          <w:tcPr>
            <w:tcW w:w="560" w:type="dxa"/>
            <w:tcBorders>
              <w:top w:val="nil"/>
              <w:left w:val="nil"/>
              <w:bottom w:val="single" w:color="auto" w:sz="4" w:space="0"/>
              <w:right w:val="single" w:color="auto" w:sz="4" w:space="0"/>
            </w:tcBorders>
            <w:noWrap/>
            <w:vAlign w:val="center"/>
          </w:tcPr>
          <w:p w14:paraId="4D15DB30">
            <w:pPr>
              <w:widowControl/>
              <w:jc w:val="left"/>
              <w:rPr>
                <w:rFonts w:ascii="宋体" w:hAnsi="宋体" w:cs="宋体"/>
                <w:kern w:val="0"/>
                <w:sz w:val="24"/>
              </w:rPr>
            </w:pPr>
            <w:r>
              <w:rPr>
                <w:rFonts w:hint="eastAsia" w:ascii="宋体" w:hAnsi="宋体" w:cs="宋体"/>
                <w:color w:val="000000"/>
                <w:kern w:val="0"/>
                <w:sz w:val="24"/>
              </w:rPr>
              <w:t>　</w:t>
            </w:r>
          </w:p>
        </w:tc>
        <w:tc>
          <w:tcPr>
            <w:tcW w:w="1301" w:type="dxa"/>
            <w:tcBorders>
              <w:top w:val="nil"/>
              <w:left w:val="nil"/>
              <w:bottom w:val="single" w:color="auto" w:sz="4" w:space="0"/>
              <w:right w:val="single" w:color="auto" w:sz="4" w:space="0"/>
            </w:tcBorders>
            <w:noWrap/>
            <w:vAlign w:val="center"/>
          </w:tcPr>
          <w:p w14:paraId="11079687">
            <w:pPr>
              <w:widowControl/>
              <w:jc w:val="left"/>
              <w:rPr>
                <w:rFonts w:ascii="宋体" w:hAnsi="宋体" w:cs="宋体"/>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noWrap/>
            <w:vAlign w:val="center"/>
          </w:tcPr>
          <w:p w14:paraId="62A00C00">
            <w:pPr>
              <w:widowControl/>
              <w:jc w:val="left"/>
              <w:rPr>
                <w:rFonts w:ascii="宋体" w:hAnsi="宋体" w:cs="宋体"/>
                <w:kern w:val="0"/>
                <w:sz w:val="24"/>
              </w:rPr>
            </w:pPr>
            <w:r>
              <w:rPr>
                <w:rFonts w:hint="eastAsia" w:ascii="宋体" w:hAnsi="宋体" w:cs="宋体"/>
                <w:color w:val="000000"/>
                <w:kern w:val="0"/>
                <w:sz w:val="24"/>
              </w:rPr>
              <w:t>　</w:t>
            </w:r>
          </w:p>
        </w:tc>
        <w:tc>
          <w:tcPr>
            <w:tcW w:w="1650" w:type="dxa"/>
            <w:tcBorders>
              <w:top w:val="nil"/>
              <w:left w:val="nil"/>
              <w:bottom w:val="single" w:color="auto" w:sz="4" w:space="0"/>
              <w:right w:val="single" w:color="auto" w:sz="4" w:space="0"/>
            </w:tcBorders>
            <w:noWrap/>
            <w:vAlign w:val="center"/>
          </w:tcPr>
          <w:p w14:paraId="27374E23">
            <w:pPr>
              <w:widowControl/>
              <w:jc w:val="left"/>
              <w:rPr>
                <w:rFonts w:ascii="宋体" w:hAnsi="宋体" w:cs="宋体"/>
                <w:kern w:val="0"/>
                <w:sz w:val="24"/>
              </w:rPr>
            </w:pPr>
            <w:r>
              <w:rPr>
                <w:rFonts w:hint="eastAsia" w:ascii="宋体" w:hAnsi="宋体" w:cs="宋体"/>
                <w:color w:val="000000"/>
                <w:kern w:val="0"/>
                <w:sz w:val="24"/>
              </w:rPr>
              <w:t>　</w:t>
            </w:r>
          </w:p>
        </w:tc>
        <w:tc>
          <w:tcPr>
            <w:tcW w:w="1305" w:type="dxa"/>
            <w:tcBorders>
              <w:top w:val="nil"/>
              <w:left w:val="nil"/>
              <w:bottom w:val="single" w:color="auto" w:sz="4" w:space="0"/>
              <w:right w:val="single" w:color="auto" w:sz="4" w:space="0"/>
            </w:tcBorders>
            <w:noWrap/>
            <w:vAlign w:val="center"/>
          </w:tcPr>
          <w:p w14:paraId="30F110FC">
            <w:pPr>
              <w:widowControl/>
              <w:jc w:val="left"/>
              <w:rPr>
                <w:rFonts w:ascii="宋体" w:hAnsi="宋体" w:cs="宋体"/>
                <w:kern w:val="0"/>
                <w:sz w:val="24"/>
              </w:rPr>
            </w:pPr>
            <w:r>
              <w:rPr>
                <w:rFonts w:hint="eastAsia" w:ascii="宋体" w:hAnsi="宋体" w:cs="宋体"/>
                <w:color w:val="000000"/>
                <w:kern w:val="0"/>
                <w:sz w:val="24"/>
              </w:rPr>
              <w:t>　</w:t>
            </w:r>
          </w:p>
        </w:tc>
        <w:tc>
          <w:tcPr>
            <w:tcW w:w="1275" w:type="dxa"/>
            <w:tcBorders>
              <w:top w:val="nil"/>
              <w:left w:val="nil"/>
              <w:bottom w:val="single" w:color="auto" w:sz="4" w:space="0"/>
              <w:right w:val="single" w:color="auto" w:sz="4" w:space="0"/>
            </w:tcBorders>
            <w:noWrap/>
            <w:vAlign w:val="center"/>
          </w:tcPr>
          <w:p w14:paraId="75A83011">
            <w:pPr>
              <w:widowControl/>
              <w:jc w:val="left"/>
              <w:rPr>
                <w:rFonts w:ascii="宋体" w:hAnsi="宋体" w:cs="宋体"/>
                <w:kern w:val="0"/>
                <w:sz w:val="24"/>
              </w:rPr>
            </w:pPr>
            <w:r>
              <w:rPr>
                <w:rFonts w:hint="eastAsia" w:ascii="宋体" w:hAnsi="宋体" w:cs="宋体"/>
                <w:color w:val="000000"/>
                <w:kern w:val="0"/>
                <w:sz w:val="24"/>
              </w:rPr>
              <w:t>　</w:t>
            </w:r>
          </w:p>
        </w:tc>
        <w:tc>
          <w:tcPr>
            <w:tcW w:w="1305" w:type="dxa"/>
            <w:tcBorders>
              <w:top w:val="nil"/>
              <w:left w:val="nil"/>
              <w:bottom w:val="single" w:color="auto" w:sz="4" w:space="0"/>
              <w:right w:val="single" w:color="auto" w:sz="4" w:space="0"/>
            </w:tcBorders>
            <w:noWrap/>
            <w:vAlign w:val="center"/>
          </w:tcPr>
          <w:p w14:paraId="00D83F75">
            <w:pPr>
              <w:widowControl/>
              <w:jc w:val="left"/>
              <w:rPr>
                <w:rFonts w:ascii="宋体" w:hAnsi="宋体" w:cs="宋体"/>
                <w:kern w:val="0"/>
                <w:sz w:val="24"/>
              </w:rPr>
            </w:pPr>
            <w:r>
              <w:rPr>
                <w:rFonts w:hint="eastAsia" w:ascii="宋体" w:hAnsi="宋体" w:cs="宋体"/>
                <w:color w:val="000000"/>
                <w:kern w:val="0"/>
                <w:sz w:val="24"/>
              </w:rPr>
              <w:t>　</w:t>
            </w:r>
          </w:p>
        </w:tc>
        <w:tc>
          <w:tcPr>
            <w:tcW w:w="2100" w:type="dxa"/>
            <w:tcBorders>
              <w:top w:val="nil"/>
              <w:left w:val="nil"/>
              <w:bottom w:val="single" w:color="auto" w:sz="4" w:space="0"/>
              <w:right w:val="single" w:color="auto" w:sz="4" w:space="0"/>
            </w:tcBorders>
            <w:noWrap/>
            <w:vAlign w:val="center"/>
          </w:tcPr>
          <w:p w14:paraId="2AAA4AFE">
            <w:pPr>
              <w:widowControl/>
              <w:jc w:val="left"/>
              <w:rPr>
                <w:rFonts w:ascii="宋体" w:hAnsi="宋体" w:cs="宋体"/>
                <w:kern w:val="0"/>
                <w:sz w:val="24"/>
              </w:rPr>
            </w:pPr>
            <w:r>
              <w:rPr>
                <w:rFonts w:hint="eastAsia" w:ascii="宋体" w:hAnsi="宋体" w:cs="宋体"/>
                <w:color w:val="000000"/>
                <w:kern w:val="0"/>
                <w:sz w:val="24"/>
              </w:rPr>
              <w:t>　</w:t>
            </w:r>
          </w:p>
        </w:tc>
        <w:tc>
          <w:tcPr>
            <w:tcW w:w="2175" w:type="dxa"/>
            <w:tcBorders>
              <w:top w:val="nil"/>
              <w:left w:val="nil"/>
              <w:bottom w:val="single" w:color="auto" w:sz="4" w:space="0"/>
              <w:right w:val="single" w:color="auto" w:sz="4" w:space="0"/>
            </w:tcBorders>
            <w:noWrap/>
            <w:vAlign w:val="center"/>
          </w:tcPr>
          <w:p w14:paraId="5BF1F07B">
            <w:pPr>
              <w:widowControl/>
              <w:jc w:val="left"/>
              <w:rPr>
                <w:rFonts w:ascii="宋体" w:hAnsi="宋体" w:cs="宋体"/>
                <w:kern w:val="0"/>
                <w:sz w:val="24"/>
              </w:rPr>
            </w:pPr>
            <w:r>
              <w:rPr>
                <w:rFonts w:hint="eastAsia" w:ascii="宋体" w:hAnsi="宋体" w:cs="宋体"/>
                <w:color w:val="000000"/>
                <w:kern w:val="0"/>
                <w:sz w:val="24"/>
              </w:rPr>
              <w:t>　</w:t>
            </w:r>
          </w:p>
        </w:tc>
      </w:tr>
      <w:tr w14:paraId="235F50AB">
        <w:tblPrEx>
          <w:tblCellMar>
            <w:top w:w="0" w:type="dxa"/>
            <w:left w:w="108" w:type="dxa"/>
            <w:bottom w:w="0" w:type="dxa"/>
            <w:right w:w="108" w:type="dxa"/>
          </w:tblCellMar>
        </w:tblPrEx>
        <w:trPr>
          <w:trHeight w:val="323" w:hRule="atLeast"/>
        </w:trPr>
        <w:tc>
          <w:tcPr>
            <w:tcW w:w="720" w:type="dxa"/>
            <w:tcBorders>
              <w:top w:val="nil"/>
              <w:left w:val="single" w:color="auto" w:sz="4" w:space="0"/>
              <w:bottom w:val="single" w:color="auto" w:sz="4" w:space="0"/>
              <w:right w:val="single" w:color="auto" w:sz="4" w:space="0"/>
            </w:tcBorders>
            <w:noWrap/>
            <w:vAlign w:val="center"/>
          </w:tcPr>
          <w:p w14:paraId="35C99827">
            <w:pPr>
              <w:widowControl/>
              <w:jc w:val="center"/>
              <w:rPr>
                <w:rFonts w:ascii="宋体" w:hAnsi="宋体" w:cs="宋体"/>
                <w:kern w:val="0"/>
                <w:sz w:val="24"/>
              </w:rPr>
            </w:pPr>
            <w:r>
              <w:rPr>
                <w:rFonts w:hint="eastAsia" w:ascii="宋体" w:hAnsi="宋体" w:cs="宋体"/>
                <w:color w:val="000000"/>
                <w:kern w:val="0"/>
                <w:sz w:val="24"/>
              </w:rPr>
              <w:t>3</w:t>
            </w:r>
          </w:p>
        </w:tc>
        <w:tc>
          <w:tcPr>
            <w:tcW w:w="780" w:type="dxa"/>
            <w:tcBorders>
              <w:top w:val="nil"/>
              <w:left w:val="nil"/>
              <w:bottom w:val="single" w:color="auto" w:sz="4" w:space="0"/>
              <w:right w:val="single" w:color="auto" w:sz="4" w:space="0"/>
            </w:tcBorders>
            <w:noWrap/>
            <w:vAlign w:val="center"/>
          </w:tcPr>
          <w:p w14:paraId="630266B5">
            <w:pPr>
              <w:widowControl/>
              <w:jc w:val="left"/>
              <w:rPr>
                <w:rFonts w:ascii="宋体" w:hAnsi="宋体" w:cs="宋体"/>
                <w:kern w:val="0"/>
                <w:sz w:val="24"/>
              </w:rPr>
            </w:pPr>
            <w:r>
              <w:rPr>
                <w:rFonts w:hint="eastAsia" w:ascii="宋体" w:hAnsi="宋体" w:cs="宋体"/>
                <w:color w:val="000000"/>
                <w:kern w:val="0"/>
                <w:sz w:val="24"/>
              </w:rPr>
              <w:t>　</w:t>
            </w:r>
          </w:p>
        </w:tc>
        <w:tc>
          <w:tcPr>
            <w:tcW w:w="560" w:type="dxa"/>
            <w:tcBorders>
              <w:top w:val="nil"/>
              <w:left w:val="nil"/>
              <w:bottom w:val="single" w:color="auto" w:sz="4" w:space="0"/>
              <w:right w:val="single" w:color="auto" w:sz="4" w:space="0"/>
            </w:tcBorders>
            <w:noWrap/>
            <w:vAlign w:val="center"/>
          </w:tcPr>
          <w:p w14:paraId="0A516852">
            <w:pPr>
              <w:widowControl/>
              <w:jc w:val="left"/>
              <w:rPr>
                <w:rFonts w:ascii="宋体" w:hAnsi="宋体" w:cs="宋体"/>
                <w:kern w:val="0"/>
                <w:sz w:val="24"/>
              </w:rPr>
            </w:pPr>
            <w:r>
              <w:rPr>
                <w:rFonts w:hint="eastAsia" w:ascii="宋体" w:hAnsi="宋体" w:cs="宋体"/>
                <w:color w:val="000000"/>
                <w:kern w:val="0"/>
                <w:sz w:val="24"/>
              </w:rPr>
              <w:t>　</w:t>
            </w:r>
          </w:p>
        </w:tc>
        <w:tc>
          <w:tcPr>
            <w:tcW w:w="1301" w:type="dxa"/>
            <w:tcBorders>
              <w:top w:val="nil"/>
              <w:left w:val="nil"/>
              <w:bottom w:val="single" w:color="auto" w:sz="4" w:space="0"/>
              <w:right w:val="single" w:color="auto" w:sz="4" w:space="0"/>
            </w:tcBorders>
            <w:noWrap/>
            <w:vAlign w:val="center"/>
          </w:tcPr>
          <w:p w14:paraId="7AC84EEF">
            <w:pPr>
              <w:widowControl/>
              <w:jc w:val="left"/>
              <w:rPr>
                <w:rFonts w:ascii="宋体" w:hAnsi="宋体" w:cs="宋体"/>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noWrap/>
            <w:vAlign w:val="center"/>
          </w:tcPr>
          <w:p w14:paraId="79E41A4F">
            <w:pPr>
              <w:widowControl/>
              <w:jc w:val="left"/>
              <w:rPr>
                <w:rFonts w:ascii="宋体" w:hAnsi="宋体" w:cs="宋体"/>
                <w:kern w:val="0"/>
                <w:sz w:val="24"/>
              </w:rPr>
            </w:pPr>
            <w:r>
              <w:rPr>
                <w:rFonts w:hint="eastAsia" w:ascii="宋体" w:hAnsi="宋体" w:cs="宋体"/>
                <w:color w:val="000000"/>
                <w:kern w:val="0"/>
                <w:sz w:val="24"/>
              </w:rPr>
              <w:t>　</w:t>
            </w:r>
          </w:p>
        </w:tc>
        <w:tc>
          <w:tcPr>
            <w:tcW w:w="1650" w:type="dxa"/>
            <w:tcBorders>
              <w:top w:val="nil"/>
              <w:left w:val="nil"/>
              <w:bottom w:val="single" w:color="auto" w:sz="4" w:space="0"/>
              <w:right w:val="single" w:color="auto" w:sz="4" w:space="0"/>
            </w:tcBorders>
            <w:noWrap/>
            <w:vAlign w:val="center"/>
          </w:tcPr>
          <w:p w14:paraId="0364FD4E">
            <w:pPr>
              <w:widowControl/>
              <w:jc w:val="left"/>
              <w:rPr>
                <w:rFonts w:ascii="宋体" w:hAnsi="宋体" w:cs="宋体"/>
                <w:kern w:val="0"/>
                <w:sz w:val="24"/>
              </w:rPr>
            </w:pPr>
            <w:r>
              <w:rPr>
                <w:rFonts w:hint="eastAsia" w:ascii="宋体" w:hAnsi="宋体" w:cs="宋体"/>
                <w:color w:val="000000"/>
                <w:kern w:val="0"/>
                <w:sz w:val="24"/>
              </w:rPr>
              <w:t>　</w:t>
            </w:r>
          </w:p>
        </w:tc>
        <w:tc>
          <w:tcPr>
            <w:tcW w:w="1305" w:type="dxa"/>
            <w:tcBorders>
              <w:top w:val="nil"/>
              <w:left w:val="nil"/>
              <w:bottom w:val="single" w:color="auto" w:sz="4" w:space="0"/>
              <w:right w:val="single" w:color="auto" w:sz="4" w:space="0"/>
            </w:tcBorders>
            <w:noWrap/>
            <w:vAlign w:val="center"/>
          </w:tcPr>
          <w:p w14:paraId="5B852B1F">
            <w:pPr>
              <w:widowControl/>
              <w:jc w:val="left"/>
              <w:rPr>
                <w:rFonts w:ascii="宋体" w:hAnsi="宋体" w:cs="宋体"/>
                <w:kern w:val="0"/>
                <w:sz w:val="24"/>
              </w:rPr>
            </w:pPr>
            <w:r>
              <w:rPr>
                <w:rFonts w:hint="eastAsia" w:ascii="宋体" w:hAnsi="宋体" w:cs="宋体"/>
                <w:color w:val="000000"/>
                <w:kern w:val="0"/>
                <w:sz w:val="24"/>
              </w:rPr>
              <w:t>　</w:t>
            </w:r>
          </w:p>
        </w:tc>
        <w:tc>
          <w:tcPr>
            <w:tcW w:w="1275" w:type="dxa"/>
            <w:tcBorders>
              <w:top w:val="nil"/>
              <w:left w:val="nil"/>
              <w:bottom w:val="single" w:color="auto" w:sz="4" w:space="0"/>
              <w:right w:val="single" w:color="auto" w:sz="4" w:space="0"/>
            </w:tcBorders>
            <w:noWrap/>
            <w:vAlign w:val="center"/>
          </w:tcPr>
          <w:p w14:paraId="4C0E87E5">
            <w:pPr>
              <w:widowControl/>
              <w:jc w:val="left"/>
              <w:rPr>
                <w:rFonts w:ascii="宋体" w:hAnsi="宋体" w:cs="宋体"/>
                <w:kern w:val="0"/>
                <w:sz w:val="24"/>
              </w:rPr>
            </w:pPr>
            <w:r>
              <w:rPr>
                <w:rFonts w:hint="eastAsia" w:ascii="宋体" w:hAnsi="宋体" w:cs="宋体"/>
                <w:color w:val="000000"/>
                <w:kern w:val="0"/>
                <w:sz w:val="24"/>
              </w:rPr>
              <w:t>　</w:t>
            </w:r>
          </w:p>
        </w:tc>
        <w:tc>
          <w:tcPr>
            <w:tcW w:w="1305" w:type="dxa"/>
            <w:tcBorders>
              <w:top w:val="nil"/>
              <w:left w:val="nil"/>
              <w:bottom w:val="single" w:color="auto" w:sz="4" w:space="0"/>
              <w:right w:val="single" w:color="auto" w:sz="4" w:space="0"/>
            </w:tcBorders>
            <w:noWrap/>
            <w:vAlign w:val="center"/>
          </w:tcPr>
          <w:p w14:paraId="00E2833D">
            <w:pPr>
              <w:widowControl/>
              <w:jc w:val="left"/>
              <w:rPr>
                <w:rFonts w:ascii="宋体" w:hAnsi="宋体" w:cs="宋体"/>
                <w:kern w:val="0"/>
                <w:sz w:val="24"/>
              </w:rPr>
            </w:pPr>
            <w:r>
              <w:rPr>
                <w:rFonts w:hint="eastAsia" w:ascii="宋体" w:hAnsi="宋体" w:cs="宋体"/>
                <w:color w:val="000000"/>
                <w:kern w:val="0"/>
                <w:sz w:val="24"/>
              </w:rPr>
              <w:t>　</w:t>
            </w:r>
          </w:p>
        </w:tc>
        <w:tc>
          <w:tcPr>
            <w:tcW w:w="2100" w:type="dxa"/>
            <w:tcBorders>
              <w:top w:val="nil"/>
              <w:left w:val="nil"/>
              <w:bottom w:val="single" w:color="auto" w:sz="4" w:space="0"/>
              <w:right w:val="single" w:color="auto" w:sz="4" w:space="0"/>
            </w:tcBorders>
            <w:noWrap/>
            <w:vAlign w:val="center"/>
          </w:tcPr>
          <w:p w14:paraId="208FF79D">
            <w:pPr>
              <w:widowControl/>
              <w:jc w:val="left"/>
              <w:rPr>
                <w:rFonts w:ascii="宋体" w:hAnsi="宋体" w:cs="宋体"/>
                <w:kern w:val="0"/>
                <w:sz w:val="24"/>
              </w:rPr>
            </w:pPr>
            <w:r>
              <w:rPr>
                <w:rFonts w:hint="eastAsia" w:ascii="宋体" w:hAnsi="宋体" w:cs="宋体"/>
                <w:color w:val="000000"/>
                <w:kern w:val="0"/>
                <w:sz w:val="24"/>
              </w:rPr>
              <w:t>　</w:t>
            </w:r>
          </w:p>
        </w:tc>
        <w:tc>
          <w:tcPr>
            <w:tcW w:w="2175" w:type="dxa"/>
            <w:tcBorders>
              <w:top w:val="nil"/>
              <w:left w:val="nil"/>
              <w:bottom w:val="single" w:color="auto" w:sz="4" w:space="0"/>
              <w:right w:val="single" w:color="auto" w:sz="4" w:space="0"/>
            </w:tcBorders>
            <w:noWrap/>
            <w:vAlign w:val="center"/>
          </w:tcPr>
          <w:p w14:paraId="1B6D785A">
            <w:pPr>
              <w:widowControl/>
              <w:jc w:val="left"/>
              <w:rPr>
                <w:rFonts w:ascii="宋体" w:hAnsi="宋体" w:cs="宋体"/>
                <w:kern w:val="0"/>
                <w:sz w:val="24"/>
              </w:rPr>
            </w:pPr>
            <w:r>
              <w:rPr>
                <w:rFonts w:hint="eastAsia" w:ascii="宋体" w:hAnsi="宋体" w:cs="宋体"/>
                <w:color w:val="000000"/>
                <w:kern w:val="0"/>
                <w:sz w:val="24"/>
              </w:rPr>
              <w:t>　</w:t>
            </w:r>
          </w:p>
        </w:tc>
      </w:tr>
      <w:tr w14:paraId="4B5FE895">
        <w:tblPrEx>
          <w:tblCellMar>
            <w:top w:w="0" w:type="dxa"/>
            <w:left w:w="108" w:type="dxa"/>
            <w:bottom w:w="0" w:type="dxa"/>
            <w:right w:w="108" w:type="dxa"/>
          </w:tblCellMar>
        </w:tblPrEx>
        <w:trPr>
          <w:trHeight w:val="323" w:hRule="atLeast"/>
        </w:trPr>
        <w:tc>
          <w:tcPr>
            <w:tcW w:w="720" w:type="dxa"/>
            <w:tcBorders>
              <w:top w:val="nil"/>
              <w:left w:val="single" w:color="auto" w:sz="4" w:space="0"/>
              <w:bottom w:val="single" w:color="auto" w:sz="4" w:space="0"/>
              <w:right w:val="single" w:color="auto" w:sz="4" w:space="0"/>
            </w:tcBorders>
            <w:noWrap/>
            <w:vAlign w:val="center"/>
          </w:tcPr>
          <w:p w14:paraId="543D343A">
            <w:pPr>
              <w:widowControl/>
              <w:jc w:val="center"/>
              <w:rPr>
                <w:rFonts w:ascii="宋体" w:hAnsi="宋体" w:cs="宋体"/>
                <w:kern w:val="0"/>
                <w:sz w:val="24"/>
              </w:rPr>
            </w:pPr>
            <w:r>
              <w:rPr>
                <w:rFonts w:hint="eastAsia" w:ascii="宋体" w:hAnsi="宋体" w:cs="宋体"/>
                <w:color w:val="000000"/>
                <w:kern w:val="0"/>
                <w:sz w:val="24"/>
              </w:rPr>
              <w:t>4</w:t>
            </w:r>
          </w:p>
        </w:tc>
        <w:tc>
          <w:tcPr>
            <w:tcW w:w="780" w:type="dxa"/>
            <w:tcBorders>
              <w:top w:val="nil"/>
              <w:left w:val="nil"/>
              <w:bottom w:val="single" w:color="auto" w:sz="4" w:space="0"/>
              <w:right w:val="single" w:color="auto" w:sz="4" w:space="0"/>
            </w:tcBorders>
            <w:noWrap/>
            <w:vAlign w:val="center"/>
          </w:tcPr>
          <w:p w14:paraId="05C98EB5">
            <w:pPr>
              <w:widowControl/>
              <w:jc w:val="left"/>
              <w:rPr>
                <w:rFonts w:ascii="宋体" w:hAnsi="宋体" w:cs="宋体"/>
                <w:kern w:val="0"/>
                <w:sz w:val="24"/>
              </w:rPr>
            </w:pPr>
            <w:r>
              <w:rPr>
                <w:rFonts w:hint="eastAsia" w:ascii="宋体" w:hAnsi="宋体" w:cs="宋体"/>
                <w:color w:val="000000"/>
                <w:kern w:val="0"/>
                <w:sz w:val="24"/>
              </w:rPr>
              <w:t>　</w:t>
            </w:r>
          </w:p>
        </w:tc>
        <w:tc>
          <w:tcPr>
            <w:tcW w:w="560" w:type="dxa"/>
            <w:tcBorders>
              <w:top w:val="nil"/>
              <w:left w:val="nil"/>
              <w:bottom w:val="single" w:color="auto" w:sz="4" w:space="0"/>
              <w:right w:val="single" w:color="auto" w:sz="4" w:space="0"/>
            </w:tcBorders>
            <w:noWrap/>
            <w:vAlign w:val="center"/>
          </w:tcPr>
          <w:p w14:paraId="34293FE7">
            <w:pPr>
              <w:widowControl/>
              <w:jc w:val="left"/>
              <w:rPr>
                <w:rFonts w:ascii="宋体" w:hAnsi="宋体" w:cs="宋体"/>
                <w:kern w:val="0"/>
                <w:sz w:val="24"/>
              </w:rPr>
            </w:pPr>
            <w:r>
              <w:rPr>
                <w:rFonts w:hint="eastAsia" w:ascii="宋体" w:hAnsi="宋体" w:cs="宋体"/>
                <w:color w:val="000000"/>
                <w:kern w:val="0"/>
                <w:sz w:val="24"/>
              </w:rPr>
              <w:t>　</w:t>
            </w:r>
          </w:p>
        </w:tc>
        <w:tc>
          <w:tcPr>
            <w:tcW w:w="1301" w:type="dxa"/>
            <w:tcBorders>
              <w:top w:val="nil"/>
              <w:left w:val="nil"/>
              <w:bottom w:val="single" w:color="auto" w:sz="4" w:space="0"/>
              <w:right w:val="single" w:color="auto" w:sz="4" w:space="0"/>
            </w:tcBorders>
            <w:noWrap/>
            <w:vAlign w:val="center"/>
          </w:tcPr>
          <w:p w14:paraId="7BE37D89">
            <w:pPr>
              <w:widowControl/>
              <w:jc w:val="left"/>
              <w:rPr>
                <w:rFonts w:ascii="宋体" w:hAnsi="宋体" w:cs="宋体"/>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noWrap/>
            <w:vAlign w:val="center"/>
          </w:tcPr>
          <w:p w14:paraId="1F652121">
            <w:pPr>
              <w:widowControl/>
              <w:jc w:val="left"/>
              <w:rPr>
                <w:rFonts w:ascii="宋体" w:hAnsi="宋体" w:cs="宋体"/>
                <w:kern w:val="0"/>
                <w:sz w:val="24"/>
              </w:rPr>
            </w:pPr>
            <w:r>
              <w:rPr>
                <w:rFonts w:hint="eastAsia" w:ascii="宋体" w:hAnsi="宋体" w:cs="宋体"/>
                <w:color w:val="000000"/>
                <w:kern w:val="0"/>
                <w:sz w:val="24"/>
              </w:rPr>
              <w:t>　</w:t>
            </w:r>
          </w:p>
        </w:tc>
        <w:tc>
          <w:tcPr>
            <w:tcW w:w="1650" w:type="dxa"/>
            <w:tcBorders>
              <w:top w:val="nil"/>
              <w:left w:val="nil"/>
              <w:bottom w:val="single" w:color="auto" w:sz="4" w:space="0"/>
              <w:right w:val="single" w:color="auto" w:sz="4" w:space="0"/>
            </w:tcBorders>
            <w:noWrap/>
            <w:vAlign w:val="center"/>
          </w:tcPr>
          <w:p w14:paraId="0A59F0BA">
            <w:pPr>
              <w:widowControl/>
              <w:jc w:val="left"/>
              <w:rPr>
                <w:rFonts w:ascii="宋体" w:hAnsi="宋体" w:cs="宋体"/>
                <w:kern w:val="0"/>
                <w:sz w:val="24"/>
              </w:rPr>
            </w:pPr>
            <w:r>
              <w:rPr>
                <w:rFonts w:hint="eastAsia" w:ascii="宋体" w:hAnsi="宋体" w:cs="宋体"/>
                <w:color w:val="000000"/>
                <w:kern w:val="0"/>
                <w:sz w:val="24"/>
              </w:rPr>
              <w:t>　</w:t>
            </w:r>
          </w:p>
        </w:tc>
        <w:tc>
          <w:tcPr>
            <w:tcW w:w="1305" w:type="dxa"/>
            <w:tcBorders>
              <w:top w:val="nil"/>
              <w:left w:val="nil"/>
              <w:bottom w:val="single" w:color="auto" w:sz="4" w:space="0"/>
              <w:right w:val="single" w:color="auto" w:sz="4" w:space="0"/>
            </w:tcBorders>
            <w:noWrap/>
            <w:vAlign w:val="center"/>
          </w:tcPr>
          <w:p w14:paraId="6F39D321">
            <w:pPr>
              <w:widowControl/>
              <w:jc w:val="left"/>
              <w:rPr>
                <w:rFonts w:ascii="宋体" w:hAnsi="宋体" w:cs="宋体"/>
                <w:kern w:val="0"/>
                <w:sz w:val="24"/>
              </w:rPr>
            </w:pPr>
            <w:r>
              <w:rPr>
                <w:rFonts w:hint="eastAsia" w:ascii="宋体" w:hAnsi="宋体" w:cs="宋体"/>
                <w:color w:val="000000"/>
                <w:kern w:val="0"/>
                <w:sz w:val="24"/>
              </w:rPr>
              <w:t>　</w:t>
            </w:r>
          </w:p>
        </w:tc>
        <w:tc>
          <w:tcPr>
            <w:tcW w:w="1275" w:type="dxa"/>
            <w:tcBorders>
              <w:top w:val="nil"/>
              <w:left w:val="nil"/>
              <w:bottom w:val="single" w:color="auto" w:sz="4" w:space="0"/>
              <w:right w:val="single" w:color="auto" w:sz="4" w:space="0"/>
            </w:tcBorders>
            <w:noWrap/>
            <w:vAlign w:val="center"/>
          </w:tcPr>
          <w:p w14:paraId="74F44025">
            <w:pPr>
              <w:widowControl/>
              <w:jc w:val="left"/>
              <w:rPr>
                <w:rFonts w:ascii="宋体" w:hAnsi="宋体" w:cs="宋体"/>
                <w:kern w:val="0"/>
                <w:sz w:val="24"/>
              </w:rPr>
            </w:pPr>
            <w:r>
              <w:rPr>
                <w:rFonts w:hint="eastAsia" w:ascii="宋体" w:hAnsi="宋体" w:cs="宋体"/>
                <w:color w:val="000000"/>
                <w:kern w:val="0"/>
                <w:sz w:val="24"/>
              </w:rPr>
              <w:t>　</w:t>
            </w:r>
          </w:p>
        </w:tc>
        <w:tc>
          <w:tcPr>
            <w:tcW w:w="1305" w:type="dxa"/>
            <w:tcBorders>
              <w:top w:val="nil"/>
              <w:left w:val="nil"/>
              <w:bottom w:val="single" w:color="auto" w:sz="4" w:space="0"/>
              <w:right w:val="single" w:color="auto" w:sz="4" w:space="0"/>
            </w:tcBorders>
            <w:noWrap/>
            <w:vAlign w:val="center"/>
          </w:tcPr>
          <w:p w14:paraId="1B1869C8">
            <w:pPr>
              <w:widowControl/>
              <w:jc w:val="left"/>
              <w:rPr>
                <w:rFonts w:ascii="宋体" w:hAnsi="宋体" w:cs="宋体"/>
                <w:kern w:val="0"/>
                <w:sz w:val="24"/>
              </w:rPr>
            </w:pPr>
            <w:r>
              <w:rPr>
                <w:rFonts w:hint="eastAsia" w:ascii="宋体" w:hAnsi="宋体" w:cs="宋体"/>
                <w:color w:val="000000"/>
                <w:kern w:val="0"/>
                <w:sz w:val="24"/>
              </w:rPr>
              <w:t>　</w:t>
            </w:r>
          </w:p>
        </w:tc>
        <w:tc>
          <w:tcPr>
            <w:tcW w:w="2100" w:type="dxa"/>
            <w:tcBorders>
              <w:top w:val="nil"/>
              <w:left w:val="nil"/>
              <w:bottom w:val="single" w:color="auto" w:sz="4" w:space="0"/>
              <w:right w:val="single" w:color="auto" w:sz="4" w:space="0"/>
            </w:tcBorders>
            <w:noWrap/>
            <w:vAlign w:val="center"/>
          </w:tcPr>
          <w:p w14:paraId="489E8ACA">
            <w:pPr>
              <w:widowControl/>
              <w:jc w:val="left"/>
              <w:rPr>
                <w:rFonts w:ascii="宋体" w:hAnsi="宋体" w:cs="宋体"/>
                <w:kern w:val="0"/>
                <w:sz w:val="24"/>
              </w:rPr>
            </w:pPr>
            <w:r>
              <w:rPr>
                <w:rFonts w:hint="eastAsia" w:ascii="宋体" w:hAnsi="宋体" w:cs="宋体"/>
                <w:color w:val="000000"/>
                <w:kern w:val="0"/>
                <w:sz w:val="24"/>
              </w:rPr>
              <w:t>　</w:t>
            </w:r>
          </w:p>
        </w:tc>
        <w:tc>
          <w:tcPr>
            <w:tcW w:w="2175" w:type="dxa"/>
            <w:tcBorders>
              <w:top w:val="nil"/>
              <w:left w:val="nil"/>
              <w:bottom w:val="single" w:color="auto" w:sz="4" w:space="0"/>
              <w:right w:val="single" w:color="auto" w:sz="4" w:space="0"/>
            </w:tcBorders>
            <w:noWrap/>
            <w:vAlign w:val="center"/>
          </w:tcPr>
          <w:p w14:paraId="0DE1E8C9">
            <w:pPr>
              <w:widowControl/>
              <w:jc w:val="left"/>
              <w:rPr>
                <w:rFonts w:ascii="宋体" w:hAnsi="宋体" w:cs="宋体"/>
                <w:kern w:val="0"/>
                <w:sz w:val="24"/>
              </w:rPr>
            </w:pPr>
            <w:r>
              <w:rPr>
                <w:rFonts w:hint="eastAsia" w:ascii="宋体" w:hAnsi="宋体" w:cs="宋体"/>
                <w:color w:val="000000"/>
                <w:kern w:val="0"/>
                <w:sz w:val="24"/>
              </w:rPr>
              <w:t>　</w:t>
            </w:r>
          </w:p>
        </w:tc>
      </w:tr>
      <w:tr w14:paraId="7728C454">
        <w:tblPrEx>
          <w:tblCellMar>
            <w:top w:w="0" w:type="dxa"/>
            <w:left w:w="108" w:type="dxa"/>
            <w:bottom w:w="0" w:type="dxa"/>
            <w:right w:w="108" w:type="dxa"/>
          </w:tblCellMar>
        </w:tblPrEx>
        <w:trPr>
          <w:trHeight w:val="323" w:hRule="atLeast"/>
        </w:trPr>
        <w:tc>
          <w:tcPr>
            <w:tcW w:w="720" w:type="dxa"/>
            <w:tcBorders>
              <w:top w:val="nil"/>
              <w:left w:val="single" w:color="auto" w:sz="4" w:space="0"/>
              <w:bottom w:val="single" w:color="auto" w:sz="4" w:space="0"/>
              <w:right w:val="single" w:color="auto" w:sz="4" w:space="0"/>
            </w:tcBorders>
            <w:noWrap/>
            <w:vAlign w:val="center"/>
          </w:tcPr>
          <w:p w14:paraId="0874420C">
            <w:pPr>
              <w:widowControl/>
              <w:jc w:val="center"/>
              <w:rPr>
                <w:rFonts w:ascii="宋体" w:hAnsi="宋体" w:cs="宋体"/>
                <w:kern w:val="0"/>
                <w:sz w:val="24"/>
              </w:rPr>
            </w:pPr>
            <w:r>
              <w:rPr>
                <w:rFonts w:hint="eastAsia" w:ascii="宋体" w:hAnsi="宋体" w:cs="宋体"/>
                <w:color w:val="000000"/>
                <w:kern w:val="0"/>
                <w:sz w:val="24"/>
              </w:rPr>
              <w:t>5</w:t>
            </w:r>
          </w:p>
        </w:tc>
        <w:tc>
          <w:tcPr>
            <w:tcW w:w="780" w:type="dxa"/>
            <w:tcBorders>
              <w:top w:val="nil"/>
              <w:left w:val="nil"/>
              <w:bottom w:val="single" w:color="auto" w:sz="4" w:space="0"/>
              <w:right w:val="single" w:color="auto" w:sz="4" w:space="0"/>
            </w:tcBorders>
            <w:noWrap/>
            <w:vAlign w:val="center"/>
          </w:tcPr>
          <w:p w14:paraId="1418282D">
            <w:pPr>
              <w:widowControl/>
              <w:jc w:val="left"/>
              <w:rPr>
                <w:rFonts w:ascii="宋体" w:hAnsi="宋体" w:cs="宋体"/>
                <w:kern w:val="0"/>
                <w:sz w:val="24"/>
              </w:rPr>
            </w:pPr>
            <w:r>
              <w:rPr>
                <w:rFonts w:hint="eastAsia" w:ascii="宋体" w:hAnsi="宋体" w:cs="宋体"/>
                <w:color w:val="000000"/>
                <w:kern w:val="0"/>
                <w:sz w:val="24"/>
              </w:rPr>
              <w:t>　</w:t>
            </w:r>
          </w:p>
        </w:tc>
        <w:tc>
          <w:tcPr>
            <w:tcW w:w="560" w:type="dxa"/>
            <w:tcBorders>
              <w:top w:val="nil"/>
              <w:left w:val="nil"/>
              <w:bottom w:val="single" w:color="auto" w:sz="4" w:space="0"/>
              <w:right w:val="single" w:color="auto" w:sz="4" w:space="0"/>
            </w:tcBorders>
            <w:noWrap/>
            <w:vAlign w:val="center"/>
          </w:tcPr>
          <w:p w14:paraId="1245D081">
            <w:pPr>
              <w:widowControl/>
              <w:jc w:val="left"/>
              <w:rPr>
                <w:rFonts w:ascii="宋体" w:hAnsi="宋体" w:cs="宋体"/>
                <w:kern w:val="0"/>
                <w:sz w:val="24"/>
              </w:rPr>
            </w:pPr>
            <w:r>
              <w:rPr>
                <w:rFonts w:hint="eastAsia" w:ascii="宋体" w:hAnsi="宋体" w:cs="宋体"/>
                <w:color w:val="000000"/>
                <w:kern w:val="0"/>
                <w:sz w:val="24"/>
              </w:rPr>
              <w:t>　</w:t>
            </w:r>
          </w:p>
        </w:tc>
        <w:tc>
          <w:tcPr>
            <w:tcW w:w="1301" w:type="dxa"/>
            <w:tcBorders>
              <w:top w:val="nil"/>
              <w:left w:val="nil"/>
              <w:bottom w:val="single" w:color="auto" w:sz="4" w:space="0"/>
              <w:right w:val="single" w:color="auto" w:sz="4" w:space="0"/>
            </w:tcBorders>
            <w:noWrap/>
            <w:vAlign w:val="center"/>
          </w:tcPr>
          <w:p w14:paraId="09968DCA">
            <w:pPr>
              <w:widowControl/>
              <w:jc w:val="left"/>
              <w:rPr>
                <w:rFonts w:ascii="宋体" w:hAnsi="宋体" w:cs="宋体"/>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noWrap/>
            <w:vAlign w:val="center"/>
          </w:tcPr>
          <w:p w14:paraId="3A4DA9BB">
            <w:pPr>
              <w:widowControl/>
              <w:jc w:val="left"/>
              <w:rPr>
                <w:rFonts w:ascii="宋体" w:hAnsi="宋体" w:cs="宋体"/>
                <w:kern w:val="0"/>
                <w:sz w:val="24"/>
              </w:rPr>
            </w:pPr>
            <w:r>
              <w:rPr>
                <w:rFonts w:hint="eastAsia" w:ascii="宋体" w:hAnsi="宋体" w:cs="宋体"/>
                <w:color w:val="000000"/>
                <w:kern w:val="0"/>
                <w:sz w:val="24"/>
              </w:rPr>
              <w:t>　</w:t>
            </w:r>
          </w:p>
        </w:tc>
        <w:tc>
          <w:tcPr>
            <w:tcW w:w="1650" w:type="dxa"/>
            <w:tcBorders>
              <w:top w:val="nil"/>
              <w:left w:val="nil"/>
              <w:bottom w:val="single" w:color="auto" w:sz="4" w:space="0"/>
              <w:right w:val="single" w:color="auto" w:sz="4" w:space="0"/>
            </w:tcBorders>
            <w:noWrap/>
            <w:vAlign w:val="center"/>
          </w:tcPr>
          <w:p w14:paraId="7BFBEF03">
            <w:pPr>
              <w:widowControl/>
              <w:jc w:val="left"/>
              <w:rPr>
                <w:rFonts w:ascii="宋体" w:hAnsi="宋体" w:cs="宋体"/>
                <w:kern w:val="0"/>
                <w:sz w:val="24"/>
              </w:rPr>
            </w:pPr>
            <w:r>
              <w:rPr>
                <w:rFonts w:hint="eastAsia" w:ascii="宋体" w:hAnsi="宋体" w:cs="宋体"/>
                <w:color w:val="000000"/>
                <w:kern w:val="0"/>
                <w:sz w:val="24"/>
              </w:rPr>
              <w:t>　</w:t>
            </w:r>
          </w:p>
        </w:tc>
        <w:tc>
          <w:tcPr>
            <w:tcW w:w="1305" w:type="dxa"/>
            <w:tcBorders>
              <w:top w:val="nil"/>
              <w:left w:val="nil"/>
              <w:bottom w:val="single" w:color="auto" w:sz="4" w:space="0"/>
              <w:right w:val="single" w:color="auto" w:sz="4" w:space="0"/>
            </w:tcBorders>
            <w:noWrap/>
            <w:vAlign w:val="center"/>
          </w:tcPr>
          <w:p w14:paraId="448FCDF2">
            <w:pPr>
              <w:widowControl/>
              <w:jc w:val="left"/>
              <w:rPr>
                <w:rFonts w:ascii="宋体" w:hAnsi="宋体" w:cs="宋体"/>
                <w:kern w:val="0"/>
                <w:sz w:val="24"/>
              </w:rPr>
            </w:pPr>
            <w:r>
              <w:rPr>
                <w:rFonts w:hint="eastAsia" w:ascii="宋体" w:hAnsi="宋体" w:cs="宋体"/>
                <w:color w:val="000000"/>
                <w:kern w:val="0"/>
                <w:sz w:val="24"/>
              </w:rPr>
              <w:t>　</w:t>
            </w:r>
          </w:p>
        </w:tc>
        <w:tc>
          <w:tcPr>
            <w:tcW w:w="1275" w:type="dxa"/>
            <w:tcBorders>
              <w:top w:val="nil"/>
              <w:left w:val="nil"/>
              <w:bottom w:val="single" w:color="auto" w:sz="4" w:space="0"/>
              <w:right w:val="single" w:color="auto" w:sz="4" w:space="0"/>
            </w:tcBorders>
            <w:noWrap/>
            <w:vAlign w:val="center"/>
          </w:tcPr>
          <w:p w14:paraId="22E1B9EC">
            <w:pPr>
              <w:widowControl/>
              <w:jc w:val="left"/>
              <w:rPr>
                <w:rFonts w:ascii="宋体" w:hAnsi="宋体" w:cs="宋体"/>
                <w:kern w:val="0"/>
                <w:sz w:val="24"/>
              </w:rPr>
            </w:pPr>
            <w:r>
              <w:rPr>
                <w:rFonts w:hint="eastAsia" w:ascii="宋体" w:hAnsi="宋体" w:cs="宋体"/>
                <w:color w:val="000000"/>
                <w:kern w:val="0"/>
                <w:sz w:val="24"/>
              </w:rPr>
              <w:t>　</w:t>
            </w:r>
          </w:p>
        </w:tc>
        <w:tc>
          <w:tcPr>
            <w:tcW w:w="1305" w:type="dxa"/>
            <w:tcBorders>
              <w:top w:val="nil"/>
              <w:left w:val="nil"/>
              <w:bottom w:val="single" w:color="auto" w:sz="4" w:space="0"/>
              <w:right w:val="single" w:color="auto" w:sz="4" w:space="0"/>
            </w:tcBorders>
            <w:noWrap/>
            <w:vAlign w:val="center"/>
          </w:tcPr>
          <w:p w14:paraId="03B00A5C">
            <w:pPr>
              <w:widowControl/>
              <w:jc w:val="left"/>
              <w:rPr>
                <w:rFonts w:ascii="宋体" w:hAnsi="宋体" w:cs="宋体"/>
                <w:kern w:val="0"/>
                <w:sz w:val="24"/>
              </w:rPr>
            </w:pPr>
            <w:r>
              <w:rPr>
                <w:rFonts w:hint="eastAsia" w:ascii="宋体" w:hAnsi="宋体" w:cs="宋体"/>
                <w:color w:val="000000"/>
                <w:kern w:val="0"/>
                <w:sz w:val="24"/>
              </w:rPr>
              <w:t>　</w:t>
            </w:r>
          </w:p>
        </w:tc>
        <w:tc>
          <w:tcPr>
            <w:tcW w:w="2100" w:type="dxa"/>
            <w:tcBorders>
              <w:top w:val="nil"/>
              <w:left w:val="nil"/>
              <w:bottom w:val="single" w:color="auto" w:sz="4" w:space="0"/>
              <w:right w:val="single" w:color="auto" w:sz="4" w:space="0"/>
            </w:tcBorders>
            <w:noWrap/>
            <w:vAlign w:val="center"/>
          </w:tcPr>
          <w:p w14:paraId="7DA5B909">
            <w:pPr>
              <w:widowControl/>
              <w:jc w:val="left"/>
              <w:rPr>
                <w:rFonts w:ascii="宋体" w:hAnsi="宋体" w:cs="宋体"/>
                <w:kern w:val="0"/>
                <w:sz w:val="24"/>
              </w:rPr>
            </w:pPr>
            <w:r>
              <w:rPr>
                <w:rFonts w:hint="eastAsia" w:ascii="宋体" w:hAnsi="宋体" w:cs="宋体"/>
                <w:color w:val="000000"/>
                <w:kern w:val="0"/>
                <w:sz w:val="24"/>
              </w:rPr>
              <w:t>　</w:t>
            </w:r>
          </w:p>
        </w:tc>
        <w:tc>
          <w:tcPr>
            <w:tcW w:w="2175" w:type="dxa"/>
            <w:tcBorders>
              <w:top w:val="nil"/>
              <w:left w:val="nil"/>
              <w:bottom w:val="single" w:color="auto" w:sz="4" w:space="0"/>
              <w:right w:val="single" w:color="auto" w:sz="4" w:space="0"/>
            </w:tcBorders>
            <w:noWrap/>
            <w:vAlign w:val="center"/>
          </w:tcPr>
          <w:p w14:paraId="5358B6DE">
            <w:pPr>
              <w:widowControl/>
              <w:jc w:val="left"/>
              <w:rPr>
                <w:rFonts w:ascii="宋体" w:hAnsi="宋体" w:cs="宋体"/>
                <w:kern w:val="0"/>
                <w:sz w:val="24"/>
              </w:rPr>
            </w:pPr>
            <w:r>
              <w:rPr>
                <w:rFonts w:hint="eastAsia" w:ascii="宋体" w:hAnsi="宋体" w:cs="宋体"/>
                <w:color w:val="000000"/>
                <w:kern w:val="0"/>
                <w:sz w:val="24"/>
              </w:rPr>
              <w:t>　</w:t>
            </w:r>
          </w:p>
        </w:tc>
      </w:tr>
      <w:tr w14:paraId="1C12946F">
        <w:tblPrEx>
          <w:tblCellMar>
            <w:top w:w="0" w:type="dxa"/>
            <w:left w:w="108" w:type="dxa"/>
            <w:bottom w:w="0" w:type="dxa"/>
            <w:right w:w="108" w:type="dxa"/>
          </w:tblCellMar>
        </w:tblPrEx>
        <w:trPr>
          <w:trHeight w:val="323" w:hRule="atLeast"/>
        </w:trPr>
        <w:tc>
          <w:tcPr>
            <w:tcW w:w="720" w:type="dxa"/>
            <w:tcBorders>
              <w:top w:val="nil"/>
              <w:left w:val="single" w:color="auto" w:sz="4" w:space="0"/>
              <w:bottom w:val="single" w:color="auto" w:sz="4" w:space="0"/>
              <w:right w:val="single" w:color="auto" w:sz="4" w:space="0"/>
            </w:tcBorders>
            <w:noWrap/>
            <w:vAlign w:val="center"/>
          </w:tcPr>
          <w:p w14:paraId="5C1A79F3">
            <w:pPr>
              <w:widowControl/>
              <w:jc w:val="center"/>
              <w:rPr>
                <w:rFonts w:ascii="宋体" w:hAnsi="宋体" w:cs="宋体"/>
                <w:kern w:val="0"/>
                <w:sz w:val="24"/>
              </w:rPr>
            </w:pPr>
            <w:r>
              <w:rPr>
                <w:rFonts w:hint="eastAsia" w:ascii="宋体" w:hAnsi="宋体" w:cs="宋体"/>
                <w:color w:val="000000"/>
                <w:kern w:val="0"/>
                <w:sz w:val="24"/>
              </w:rPr>
              <w:t>…</w:t>
            </w:r>
          </w:p>
        </w:tc>
        <w:tc>
          <w:tcPr>
            <w:tcW w:w="780" w:type="dxa"/>
            <w:tcBorders>
              <w:top w:val="nil"/>
              <w:left w:val="nil"/>
              <w:bottom w:val="single" w:color="auto" w:sz="4" w:space="0"/>
              <w:right w:val="single" w:color="auto" w:sz="4" w:space="0"/>
            </w:tcBorders>
            <w:noWrap/>
            <w:vAlign w:val="center"/>
          </w:tcPr>
          <w:p w14:paraId="4DA324F9">
            <w:pPr>
              <w:widowControl/>
              <w:jc w:val="left"/>
              <w:rPr>
                <w:rFonts w:ascii="宋体" w:hAnsi="宋体" w:cs="宋体"/>
                <w:kern w:val="0"/>
                <w:sz w:val="24"/>
              </w:rPr>
            </w:pPr>
            <w:r>
              <w:rPr>
                <w:rFonts w:hint="eastAsia" w:ascii="宋体" w:hAnsi="宋体" w:cs="宋体"/>
                <w:color w:val="000000"/>
                <w:kern w:val="0"/>
                <w:sz w:val="24"/>
              </w:rPr>
              <w:t>　</w:t>
            </w:r>
          </w:p>
        </w:tc>
        <w:tc>
          <w:tcPr>
            <w:tcW w:w="560" w:type="dxa"/>
            <w:tcBorders>
              <w:top w:val="nil"/>
              <w:left w:val="nil"/>
              <w:bottom w:val="single" w:color="auto" w:sz="4" w:space="0"/>
              <w:right w:val="single" w:color="auto" w:sz="4" w:space="0"/>
            </w:tcBorders>
            <w:noWrap/>
            <w:vAlign w:val="center"/>
          </w:tcPr>
          <w:p w14:paraId="4ABCD833">
            <w:pPr>
              <w:widowControl/>
              <w:jc w:val="left"/>
              <w:rPr>
                <w:rFonts w:ascii="宋体" w:hAnsi="宋体" w:cs="宋体"/>
                <w:kern w:val="0"/>
                <w:sz w:val="24"/>
              </w:rPr>
            </w:pPr>
            <w:r>
              <w:rPr>
                <w:rFonts w:hint="eastAsia" w:ascii="宋体" w:hAnsi="宋体" w:cs="宋体"/>
                <w:color w:val="000000"/>
                <w:kern w:val="0"/>
                <w:sz w:val="24"/>
              </w:rPr>
              <w:t>　</w:t>
            </w:r>
          </w:p>
        </w:tc>
        <w:tc>
          <w:tcPr>
            <w:tcW w:w="1301" w:type="dxa"/>
            <w:tcBorders>
              <w:top w:val="nil"/>
              <w:left w:val="nil"/>
              <w:bottom w:val="single" w:color="auto" w:sz="4" w:space="0"/>
              <w:right w:val="single" w:color="auto" w:sz="4" w:space="0"/>
            </w:tcBorders>
            <w:noWrap/>
            <w:vAlign w:val="center"/>
          </w:tcPr>
          <w:p w14:paraId="71FB0CC9">
            <w:pPr>
              <w:widowControl/>
              <w:jc w:val="left"/>
              <w:rPr>
                <w:rFonts w:ascii="宋体" w:hAnsi="宋体" w:cs="宋体"/>
                <w:kern w:val="0"/>
                <w:sz w:val="24"/>
              </w:rPr>
            </w:pPr>
            <w:r>
              <w:rPr>
                <w:rFonts w:hint="eastAsia" w:ascii="宋体" w:hAnsi="宋体" w:cs="宋体"/>
                <w:color w:val="000000"/>
                <w:kern w:val="0"/>
                <w:sz w:val="24"/>
              </w:rPr>
              <w:t>　</w:t>
            </w:r>
          </w:p>
        </w:tc>
        <w:tc>
          <w:tcPr>
            <w:tcW w:w="1080" w:type="dxa"/>
            <w:tcBorders>
              <w:top w:val="nil"/>
              <w:left w:val="nil"/>
              <w:bottom w:val="single" w:color="auto" w:sz="4" w:space="0"/>
              <w:right w:val="single" w:color="auto" w:sz="4" w:space="0"/>
            </w:tcBorders>
            <w:noWrap/>
            <w:vAlign w:val="center"/>
          </w:tcPr>
          <w:p w14:paraId="4A3039CC">
            <w:pPr>
              <w:widowControl/>
              <w:jc w:val="left"/>
              <w:rPr>
                <w:rFonts w:ascii="宋体" w:hAnsi="宋体" w:cs="宋体"/>
                <w:kern w:val="0"/>
                <w:sz w:val="24"/>
              </w:rPr>
            </w:pPr>
            <w:r>
              <w:rPr>
                <w:rFonts w:hint="eastAsia" w:ascii="宋体" w:hAnsi="宋体" w:cs="宋体"/>
                <w:color w:val="000000"/>
                <w:kern w:val="0"/>
                <w:sz w:val="24"/>
              </w:rPr>
              <w:t>　</w:t>
            </w:r>
          </w:p>
        </w:tc>
        <w:tc>
          <w:tcPr>
            <w:tcW w:w="1650" w:type="dxa"/>
            <w:tcBorders>
              <w:top w:val="nil"/>
              <w:left w:val="nil"/>
              <w:bottom w:val="single" w:color="auto" w:sz="4" w:space="0"/>
              <w:right w:val="single" w:color="auto" w:sz="4" w:space="0"/>
            </w:tcBorders>
            <w:noWrap/>
            <w:vAlign w:val="center"/>
          </w:tcPr>
          <w:p w14:paraId="670CF393">
            <w:pPr>
              <w:widowControl/>
              <w:jc w:val="left"/>
              <w:rPr>
                <w:rFonts w:ascii="宋体" w:hAnsi="宋体" w:cs="宋体"/>
                <w:kern w:val="0"/>
                <w:sz w:val="24"/>
              </w:rPr>
            </w:pPr>
            <w:r>
              <w:rPr>
                <w:rFonts w:hint="eastAsia" w:ascii="宋体" w:hAnsi="宋体" w:cs="宋体"/>
                <w:color w:val="000000"/>
                <w:kern w:val="0"/>
                <w:sz w:val="24"/>
              </w:rPr>
              <w:t>　</w:t>
            </w:r>
          </w:p>
        </w:tc>
        <w:tc>
          <w:tcPr>
            <w:tcW w:w="1305" w:type="dxa"/>
            <w:tcBorders>
              <w:top w:val="nil"/>
              <w:left w:val="nil"/>
              <w:bottom w:val="single" w:color="auto" w:sz="4" w:space="0"/>
              <w:right w:val="single" w:color="auto" w:sz="4" w:space="0"/>
            </w:tcBorders>
            <w:noWrap/>
            <w:vAlign w:val="center"/>
          </w:tcPr>
          <w:p w14:paraId="17D66C9E">
            <w:pPr>
              <w:widowControl/>
              <w:jc w:val="left"/>
              <w:rPr>
                <w:rFonts w:ascii="宋体" w:hAnsi="宋体" w:cs="宋体"/>
                <w:kern w:val="0"/>
                <w:sz w:val="24"/>
              </w:rPr>
            </w:pPr>
            <w:r>
              <w:rPr>
                <w:rFonts w:hint="eastAsia" w:ascii="宋体" w:hAnsi="宋体" w:cs="宋体"/>
                <w:color w:val="000000"/>
                <w:kern w:val="0"/>
                <w:sz w:val="24"/>
              </w:rPr>
              <w:t>　</w:t>
            </w:r>
          </w:p>
        </w:tc>
        <w:tc>
          <w:tcPr>
            <w:tcW w:w="1275" w:type="dxa"/>
            <w:tcBorders>
              <w:top w:val="nil"/>
              <w:left w:val="nil"/>
              <w:bottom w:val="single" w:color="auto" w:sz="4" w:space="0"/>
              <w:right w:val="single" w:color="auto" w:sz="4" w:space="0"/>
            </w:tcBorders>
            <w:noWrap/>
            <w:vAlign w:val="center"/>
          </w:tcPr>
          <w:p w14:paraId="2F711E5D">
            <w:pPr>
              <w:widowControl/>
              <w:jc w:val="left"/>
              <w:rPr>
                <w:rFonts w:ascii="宋体" w:hAnsi="宋体" w:cs="宋体"/>
                <w:kern w:val="0"/>
                <w:sz w:val="24"/>
              </w:rPr>
            </w:pPr>
            <w:r>
              <w:rPr>
                <w:rFonts w:hint="eastAsia" w:ascii="宋体" w:hAnsi="宋体" w:cs="宋体"/>
                <w:color w:val="000000"/>
                <w:kern w:val="0"/>
                <w:sz w:val="24"/>
              </w:rPr>
              <w:t>　</w:t>
            </w:r>
          </w:p>
        </w:tc>
        <w:tc>
          <w:tcPr>
            <w:tcW w:w="1305" w:type="dxa"/>
            <w:tcBorders>
              <w:top w:val="nil"/>
              <w:left w:val="nil"/>
              <w:bottom w:val="single" w:color="auto" w:sz="4" w:space="0"/>
              <w:right w:val="single" w:color="auto" w:sz="4" w:space="0"/>
            </w:tcBorders>
            <w:noWrap/>
            <w:vAlign w:val="center"/>
          </w:tcPr>
          <w:p w14:paraId="04B6B132">
            <w:pPr>
              <w:widowControl/>
              <w:jc w:val="left"/>
              <w:rPr>
                <w:rFonts w:ascii="宋体" w:hAnsi="宋体" w:cs="宋体"/>
                <w:kern w:val="0"/>
                <w:sz w:val="24"/>
              </w:rPr>
            </w:pPr>
            <w:r>
              <w:rPr>
                <w:rFonts w:hint="eastAsia" w:ascii="宋体" w:hAnsi="宋体" w:cs="宋体"/>
                <w:color w:val="000000"/>
                <w:kern w:val="0"/>
                <w:sz w:val="24"/>
              </w:rPr>
              <w:t>　</w:t>
            </w:r>
          </w:p>
        </w:tc>
        <w:tc>
          <w:tcPr>
            <w:tcW w:w="2100" w:type="dxa"/>
            <w:tcBorders>
              <w:top w:val="nil"/>
              <w:left w:val="nil"/>
              <w:bottom w:val="single" w:color="auto" w:sz="4" w:space="0"/>
              <w:right w:val="single" w:color="auto" w:sz="4" w:space="0"/>
            </w:tcBorders>
            <w:noWrap/>
            <w:vAlign w:val="center"/>
          </w:tcPr>
          <w:p w14:paraId="3653D183">
            <w:pPr>
              <w:widowControl/>
              <w:jc w:val="left"/>
              <w:rPr>
                <w:rFonts w:ascii="宋体" w:hAnsi="宋体" w:cs="宋体"/>
                <w:kern w:val="0"/>
                <w:sz w:val="24"/>
              </w:rPr>
            </w:pPr>
            <w:r>
              <w:rPr>
                <w:rFonts w:hint="eastAsia" w:ascii="宋体" w:hAnsi="宋体" w:cs="宋体"/>
                <w:color w:val="000000"/>
                <w:kern w:val="0"/>
                <w:sz w:val="24"/>
              </w:rPr>
              <w:t>　</w:t>
            </w:r>
          </w:p>
        </w:tc>
        <w:tc>
          <w:tcPr>
            <w:tcW w:w="2175" w:type="dxa"/>
            <w:tcBorders>
              <w:top w:val="nil"/>
              <w:left w:val="nil"/>
              <w:bottom w:val="single" w:color="auto" w:sz="4" w:space="0"/>
              <w:right w:val="single" w:color="auto" w:sz="4" w:space="0"/>
            </w:tcBorders>
            <w:noWrap/>
            <w:vAlign w:val="center"/>
          </w:tcPr>
          <w:p w14:paraId="424AD989">
            <w:pPr>
              <w:widowControl/>
              <w:jc w:val="left"/>
              <w:rPr>
                <w:rFonts w:ascii="宋体" w:hAnsi="宋体" w:cs="宋体"/>
                <w:kern w:val="0"/>
                <w:sz w:val="24"/>
              </w:rPr>
            </w:pPr>
            <w:r>
              <w:rPr>
                <w:rFonts w:hint="eastAsia" w:ascii="宋体" w:hAnsi="宋体" w:cs="宋体"/>
                <w:color w:val="000000"/>
                <w:kern w:val="0"/>
                <w:sz w:val="24"/>
              </w:rPr>
              <w:t>　</w:t>
            </w:r>
          </w:p>
        </w:tc>
      </w:tr>
      <w:tr w14:paraId="03B4AC90">
        <w:tblPrEx>
          <w:tblCellMar>
            <w:top w:w="0" w:type="dxa"/>
            <w:left w:w="108" w:type="dxa"/>
            <w:bottom w:w="0" w:type="dxa"/>
            <w:right w:w="108" w:type="dxa"/>
          </w:tblCellMar>
        </w:tblPrEx>
        <w:trPr>
          <w:trHeight w:val="323" w:hRule="atLeast"/>
        </w:trPr>
        <w:tc>
          <w:tcPr>
            <w:tcW w:w="7396" w:type="dxa"/>
            <w:gridSpan w:val="7"/>
            <w:tcBorders>
              <w:top w:val="single" w:color="auto" w:sz="4" w:space="0"/>
              <w:left w:val="single" w:color="auto" w:sz="4" w:space="0"/>
              <w:bottom w:val="single" w:color="auto" w:sz="4" w:space="0"/>
              <w:right w:val="single" w:color="auto" w:sz="4" w:space="0"/>
            </w:tcBorders>
            <w:noWrap/>
            <w:vAlign w:val="center"/>
          </w:tcPr>
          <w:p w14:paraId="5FDD38FB">
            <w:pPr>
              <w:widowControl/>
              <w:jc w:val="left"/>
              <w:rPr>
                <w:rFonts w:ascii="宋体" w:hAnsi="宋体" w:cs="宋体"/>
                <w:kern w:val="0"/>
                <w:sz w:val="24"/>
              </w:rPr>
            </w:pPr>
            <w:r>
              <w:rPr>
                <w:rFonts w:hint="eastAsia" w:ascii="宋体" w:hAnsi="宋体" w:cs="宋体"/>
                <w:color w:val="000000"/>
                <w:kern w:val="0"/>
                <w:sz w:val="24"/>
              </w:rPr>
              <w:t>填表人：</w:t>
            </w:r>
          </w:p>
        </w:tc>
        <w:tc>
          <w:tcPr>
            <w:tcW w:w="6855" w:type="dxa"/>
            <w:gridSpan w:val="4"/>
            <w:tcBorders>
              <w:top w:val="single" w:color="auto" w:sz="4" w:space="0"/>
              <w:left w:val="single" w:color="auto" w:sz="4" w:space="0"/>
              <w:bottom w:val="single" w:color="auto" w:sz="4" w:space="0"/>
              <w:right w:val="single" w:color="auto" w:sz="4" w:space="0"/>
            </w:tcBorders>
            <w:noWrap/>
            <w:vAlign w:val="center"/>
          </w:tcPr>
          <w:p w14:paraId="0EAB6F8F">
            <w:pPr>
              <w:widowControl/>
              <w:jc w:val="left"/>
              <w:rPr>
                <w:rFonts w:ascii="宋体" w:hAnsi="宋体" w:cs="宋体"/>
                <w:kern w:val="0"/>
                <w:sz w:val="24"/>
              </w:rPr>
            </w:pPr>
            <w:r>
              <w:rPr>
                <w:rFonts w:hint="eastAsia" w:ascii="宋体" w:hAnsi="宋体" w:cs="宋体"/>
                <w:color w:val="000000"/>
                <w:kern w:val="0"/>
                <w:sz w:val="24"/>
              </w:rPr>
              <w:t>联系电话：</w:t>
            </w:r>
          </w:p>
        </w:tc>
      </w:tr>
    </w:tbl>
    <w:p w14:paraId="387AC55F">
      <w:pPr>
        <w:spacing w:before="0" w:after="80" w:line="280" w:lineRule="exact"/>
        <w:jc w:val="left"/>
        <w:rPr>
          <w:rFonts w:ascii="Times New Roman" w:hAnsi="Times New Roman" w:eastAsia="宋体"/>
          <w:b w:val="0"/>
          <w:sz w:val="18"/>
        </w:rPr>
      </w:pPr>
    </w:p>
    <w:p w14:paraId="040093A2">
      <w:pPr>
        <w:spacing w:before="0" w:after="80" w:line="280" w:lineRule="exact"/>
        <w:jc w:val="left"/>
        <w:rPr>
          <w:rFonts w:ascii="Times New Roman" w:hAnsi="Times New Roman" w:eastAsia="宋体"/>
          <w:b w:val="0"/>
          <w:sz w:val="18"/>
        </w:rPr>
      </w:pPr>
    </w:p>
    <w:p w14:paraId="2B59EF9B">
      <w:pPr>
        <w:spacing w:before="40" w:after="120" w:line="280" w:lineRule="exact"/>
        <w:jc w:val="left"/>
      </w:pPr>
    </w:p>
    <w:p>
      <w:r>
        <w:rPr>
          <w:color w:val="000000"/>
          <w:sz w:val="24"/>
        </w:rPr>
        <w:t>附表三补充说明（红字待填）：第1行“2026年度净利润预计”“2026年末所有者权益预计”“投资至今累计增值情况”三栏待创联公司财务总监提供；</w:t>
      </w:r>
    </w:p>
    <w:p>
      <w:r>
        <w:rPr>
          <w:color w:val="000000"/>
          <w:sz w:val="24"/>
        </w:rPr>
        <w:t>填表人：＿＿＿＿　联系电话：＿＿＿＿　填报日期：2026年＿＿月＿＿日。</w:t>
      </w:r>
    </w:p>
    <w:sectPr>
      <w:footerReference r:id="rId6" w:type="default"/>
      <w:pgSz w:w="16838" w:h="11906" w:orient="landscape"/>
      <w:pgMar w:top="1247" w:right="1247" w:bottom="1134"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136F5">
    <w:pPr>
      <w:pStyle w:val="24"/>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85F5C2">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685F5C2">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88003">
    <w:pPr>
      <w:pStyle w:val="24"/>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4E36A0">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4E36A0">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3D4163"/>
    <w:multiLevelType w:val="singleLevel"/>
    <w:tmpl w:val="E83D4163"/>
    <w:lvl w:ilvl="0" w:tentative="0">
      <w:start w:val="2"/>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78721A"/>
    <w:rsid w:val="02D92666"/>
    <w:rsid w:val="035C5045"/>
    <w:rsid w:val="039106AD"/>
    <w:rsid w:val="064F5DF4"/>
    <w:rsid w:val="0C027642"/>
    <w:rsid w:val="12C5612B"/>
    <w:rsid w:val="12EF0395"/>
    <w:rsid w:val="137F0366"/>
    <w:rsid w:val="17FC7457"/>
    <w:rsid w:val="1A672378"/>
    <w:rsid w:val="227C6284"/>
    <w:rsid w:val="23940115"/>
    <w:rsid w:val="2C616C42"/>
    <w:rsid w:val="325B483E"/>
    <w:rsid w:val="363850F7"/>
    <w:rsid w:val="371A4D6D"/>
    <w:rsid w:val="39030487"/>
    <w:rsid w:val="3BFE0136"/>
    <w:rsid w:val="41ED79D1"/>
    <w:rsid w:val="43940D60"/>
    <w:rsid w:val="44615A3C"/>
    <w:rsid w:val="44E67CEF"/>
    <w:rsid w:val="48017813"/>
    <w:rsid w:val="4E406692"/>
    <w:rsid w:val="50BD2A02"/>
    <w:rsid w:val="539D3442"/>
    <w:rsid w:val="544F57C8"/>
    <w:rsid w:val="559960F2"/>
    <w:rsid w:val="56523B0B"/>
    <w:rsid w:val="58A6099E"/>
    <w:rsid w:val="58C148A4"/>
    <w:rsid w:val="59335F37"/>
    <w:rsid w:val="59F27FD7"/>
    <w:rsid w:val="5A5F2B58"/>
    <w:rsid w:val="5B706D2B"/>
    <w:rsid w:val="5ED6097D"/>
    <w:rsid w:val="605F79E5"/>
    <w:rsid w:val="63C26F44"/>
    <w:rsid w:val="69E6599A"/>
    <w:rsid w:val="6BBD6A0F"/>
    <w:rsid w:val="6BE566A3"/>
    <w:rsid w:val="6D55050F"/>
    <w:rsid w:val="6DBF56AB"/>
    <w:rsid w:val="6E340B17"/>
    <w:rsid w:val="6ECF094F"/>
    <w:rsid w:val="704C4303"/>
    <w:rsid w:val="710D39B8"/>
    <w:rsid w:val="720D5F1B"/>
    <w:rsid w:val="722F68CA"/>
    <w:rsid w:val="73C86084"/>
    <w:rsid w:val="741152AF"/>
    <w:rsid w:val="74C643AE"/>
    <w:rsid w:val="79701544"/>
    <w:rsid w:val="79E45133"/>
    <w:rsid w:val="79F6067F"/>
    <w:rsid w:val="7A7B4159"/>
    <w:rsid w:val="7B226FC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 w:hAnsi="仿宋" w:eastAsia="仿宋" w:cstheme="minorBidi"/>
      <w:sz w:val="3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544</Words>
  <Characters>610</Characters>
  <Lines>0</Lines>
  <Paragraphs>0</Paragraphs>
  <TotalTime>43</TotalTime>
  <ScaleCrop>false</ScaleCrop>
  <LinksUpToDate>false</LinksUpToDate>
  <CharactersWithSpaces>610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LZH</cp:lastModifiedBy>
  <dcterms:modified xsi:type="dcterms:W3CDTF">2026-10-27T08:10:39Z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eyJoZGlkIjoiYmNkNTJiOWYzNWZkNWIzZWNiYzZmNDVjOWI3OGJlYzAiLCJ1c2VySWQiOiIxNjg0OTEzNTY3In0=</vt:lpwstr>
  </property>
  <property fmtid="{D5CDD505-2E9C-101B-9397-08002B2CF9AE}" pid="3" name="KSOProductBuildVer">
    <vt:lpwstr>2052-12.1.0.29161</vt:lpwstr>
  </property>
  <property fmtid="{D5CDD505-2E9C-101B-9397-08002B2CF9AE}" pid="4" name="ICV">
    <vt:lpwstr>3DE80292D13B43B88F0971AEB843659F_13</vt:lpwstr>
  </property>
</Properties>
</file>